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2"/>
        </w:rPr>
      </w:pPr>
    </w:p>
    <w:p>
      <w:pPr>
        <w:pStyle w:val="BodyText"/>
        <w:ind w:left="3804"/>
        <w:rPr>
          <w:rFonts w:ascii="Times New Roman"/>
          <w:sz w:val="20"/>
        </w:rPr>
      </w:pPr>
      <w:r>
        <w:rPr>
          <w:rFonts w:ascii="Times New Roman"/>
          <w:sz w:val="20"/>
        </w:rPr>
        <w:drawing>
          <wp:inline distT="0" distB="0" distL="0" distR="0">
            <wp:extent cx="4781881" cy="429768"/>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7" cstate="print"/>
                    <a:stretch>
                      <a:fillRect/>
                    </a:stretch>
                  </pic:blipFill>
                  <pic:spPr>
                    <a:xfrm>
                      <a:off x="0" y="0"/>
                      <a:ext cx="4781881" cy="42976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4"/>
        </w:rPr>
      </w:pPr>
    </w:p>
    <w:p>
      <w:pPr>
        <w:spacing w:before="93"/>
        <w:ind w:left="247" w:right="0" w:firstLine="0"/>
        <w:jc w:val="left"/>
        <w:rPr>
          <w:b/>
          <w:sz w:val="20"/>
        </w:rPr>
      </w:pPr>
      <w:r>
        <w:rPr>
          <w:b/>
          <w:sz w:val="20"/>
          <w:u w:val="thick"/>
        </w:rPr>
        <w:t>Instructions For Use (IFU) - DentaGUIDE – Part Number / 04504</w:t>
      </w:r>
    </w:p>
    <w:p>
      <w:pPr>
        <w:pStyle w:val="BodyText"/>
        <w:rPr>
          <w:b/>
          <w:sz w:val="20"/>
        </w:rPr>
      </w:pPr>
    </w:p>
    <w:p>
      <w:pPr>
        <w:pStyle w:val="BodyText"/>
        <w:spacing w:before="7"/>
        <w:rPr>
          <w:b/>
          <w:sz w:val="19"/>
        </w:rPr>
      </w:pPr>
    </w:p>
    <w:p>
      <w:pPr>
        <w:pStyle w:val="Heading1"/>
        <w:spacing w:before="96"/>
        <w:rPr>
          <w:b w:val="0"/>
        </w:rPr>
      </w:pPr>
      <w:r>
        <w:rPr>
          <w:u w:val="single"/>
        </w:rPr>
        <w:t>Introduction</w:t>
      </w:r>
      <w:r>
        <w:rPr>
          <w:b w:val="0"/>
        </w:rPr>
        <w:t>:</w:t>
      </w:r>
    </w:p>
    <w:p>
      <w:pPr>
        <w:pStyle w:val="BodyText"/>
        <w:ind w:left="247"/>
      </w:pPr>
      <w:r>
        <w:rPr/>
        <w:t>The following instructions for use are for dental professionals who use Asiga DentaGUIDE as a material for surgical guides.</w:t>
      </w:r>
    </w:p>
    <w:p>
      <w:pPr>
        <w:pStyle w:val="BodyText"/>
        <w:ind w:left="247"/>
      </w:pPr>
      <w:r>
        <w:rPr/>
        <w:t>This instruction for use also provides information about safety and environmental aspects. In case more information is needed, contact the reseller.</w:t>
      </w:r>
    </w:p>
    <w:p>
      <w:pPr>
        <w:pStyle w:val="BodyText"/>
        <w:spacing w:before="4"/>
        <w:rPr>
          <w:sz w:val="17"/>
        </w:rPr>
      </w:pPr>
    </w:p>
    <w:p>
      <w:pPr>
        <w:pStyle w:val="Heading1"/>
        <w:rPr>
          <w:b w:val="0"/>
        </w:rPr>
      </w:pPr>
      <w:r>
        <w:rPr>
          <w:u w:val="single"/>
        </w:rPr>
        <w:t>Intended Use</w:t>
      </w:r>
      <w:r>
        <w:rPr>
          <w:b w:val="0"/>
        </w:rPr>
        <w:t>:</w:t>
      </w:r>
    </w:p>
    <w:p>
      <w:pPr>
        <w:pStyle w:val="BodyText"/>
        <w:ind w:left="247" w:right="470"/>
      </w:pPr>
      <w:r>
        <w:rPr/>
        <w:t>Asiga DentaGUIDE is intended exclusively for professional dental work. Asiga DentaGUIDE is a 3D print resin intended for the manufacturing of 3D printed dental surgical guides. Asiga DentaGUIDE is not intended for long term use (longer than 30 days) within the oral cavity. The surgical guides produced are suitable for all dental indications including dental implant surgical guides, crown and bridges applications. This product is CE certified for the manufacture of Class I medical devices.</w:t>
      </w:r>
    </w:p>
    <w:p>
      <w:pPr>
        <w:pStyle w:val="BodyText"/>
        <w:spacing w:before="10"/>
        <w:rPr>
          <w:sz w:val="15"/>
        </w:rPr>
      </w:pPr>
    </w:p>
    <w:p>
      <w:pPr>
        <w:pStyle w:val="Heading1"/>
        <w:rPr>
          <w:b w:val="0"/>
        </w:rPr>
      </w:pPr>
      <w:r>
        <w:rPr>
          <w:u w:val="single"/>
        </w:rPr>
        <w:t>Description, Indications &amp; Effects</w:t>
      </w:r>
      <w:r>
        <w:rPr>
          <w:b w:val="0"/>
        </w:rPr>
        <w:t>:</w:t>
      </w:r>
    </w:p>
    <w:p>
      <w:pPr>
        <w:pStyle w:val="BodyText"/>
        <w:ind w:left="247" w:right="462"/>
      </w:pPr>
      <w:r>
        <w:rPr/>
        <w:t>Asiga DentaGUIDE is intended to be used in combination with DLP based 3D printers (i.e. Asiga Max Series or Asiga Pro Series) that support Asiga resins. Printer and resin must be optimized with respect to each other in order to produce complete and precise printed parts. If the printer and resin are not optimized with respect to each other this may have an adverse effect on the accuracy and physical quality of printed parts. </w:t>
      </w:r>
      <w:r>
        <w:rPr>
          <w:spacing w:val="2"/>
        </w:rPr>
        <w:t>DLP </w:t>
      </w:r>
      <w:r>
        <w:rPr/>
        <w:t>based 3D printers and post- curing lightboxes make use of a light source to polymerize the Asiga resin. Therefore, operators are advised to wear UV protective glasses when operating a 3D printer and/or lightbox. Differences in colour nuance may occur due to: production in batches; inadequate shaking and mixing of the original packaging before use; inadequate stirring in the DentaGUIDE resin before use; insufficient</w:t>
      </w:r>
      <w:r>
        <w:rPr>
          <w:spacing w:val="-29"/>
        </w:rPr>
        <w:t> </w:t>
      </w:r>
      <w:r>
        <w:rPr/>
        <w:t>post-curing.</w:t>
      </w:r>
    </w:p>
    <w:p>
      <w:pPr>
        <w:pStyle w:val="BodyText"/>
        <w:spacing w:before="10"/>
        <w:rPr>
          <w:sz w:val="15"/>
        </w:rPr>
      </w:pPr>
    </w:p>
    <w:p>
      <w:pPr>
        <w:pStyle w:val="Heading1"/>
        <w:rPr>
          <w:b w:val="0"/>
        </w:rPr>
      </w:pPr>
      <w:r>
        <w:rPr>
          <w:u w:val="single"/>
        </w:rPr>
        <w:t>Contra-Indications</w:t>
      </w:r>
      <w:r>
        <w:rPr>
          <w:b w:val="0"/>
        </w:rPr>
        <w:t>:</w:t>
      </w:r>
    </w:p>
    <w:p>
      <w:pPr>
        <w:pStyle w:val="BodyText"/>
        <w:ind w:left="247" w:right="683"/>
      </w:pPr>
      <w:r>
        <w:rPr/>
        <w:t>Asiga DentaGUIDE should not be used for any other purpose than as a 3D print resin for the manufacturing of dental surgical guides. Any deviation from this instruction for use may have an adverse effect on the chemical and physical quality of Asiga DentaGUIDE. In case of an allergic reaction, please contact a medical physician. For any serious incident that has occurred to the printed devices should be reported to the manufacturer and the competent authority of the Member State in which the user and/or patient is established.</w:t>
      </w:r>
    </w:p>
    <w:p>
      <w:pPr>
        <w:pStyle w:val="BodyText"/>
        <w:spacing w:before="10"/>
        <w:rPr>
          <w:sz w:val="15"/>
        </w:rPr>
      </w:pPr>
    </w:p>
    <w:p>
      <w:pPr>
        <w:pStyle w:val="Heading1"/>
        <w:rPr>
          <w:b w:val="0"/>
        </w:rPr>
      </w:pPr>
      <w:r>
        <w:rPr>
          <w:u w:val="single"/>
        </w:rPr>
        <w:t>Hazard &amp; Precautions</w:t>
      </w:r>
      <w:r>
        <w:rPr>
          <w:b w:val="0"/>
        </w:rPr>
        <w:t>:</w:t>
      </w:r>
    </w:p>
    <w:p>
      <w:pPr>
        <w:pStyle w:val="BodyText"/>
        <w:ind w:left="247" w:right="453"/>
      </w:pPr>
      <w:r>
        <w:rPr/>
        <w:t>Please refer to Asiga product safety data sheet for DentaGUIDE. Federal law restricts this device to sale by or on the order of a dentist. For material SDS or technical assistance, contact your Asiga resellers or open a support ticket in your account online </w:t>
      </w:r>
      <w:hyperlink r:id="rId8">
        <w:r>
          <w:rPr>
            <w:color w:val="0000FF"/>
            <w:u w:val="single" w:color="0000FF"/>
          </w:rPr>
          <w:t>https://www.asiga.com/accounts/support/</w:t>
        </w:r>
      </w:hyperlink>
    </w:p>
    <w:p>
      <w:pPr>
        <w:pStyle w:val="BodyText"/>
        <w:spacing w:before="7"/>
        <w:rPr>
          <w:sz w:val="15"/>
        </w:rPr>
      </w:pPr>
    </w:p>
    <w:p>
      <w:pPr>
        <w:pStyle w:val="Heading1"/>
        <w:rPr>
          <w:b w:val="0"/>
        </w:rPr>
      </w:pPr>
      <w:r>
        <w:rPr>
          <w:u w:val="single"/>
        </w:rPr>
        <w:t>Processing &amp; Post-Curing</w:t>
      </w:r>
      <w:r>
        <w:rPr>
          <w:b w:val="0"/>
        </w:rPr>
        <w:t>:</w:t>
      </w:r>
    </w:p>
    <w:p>
      <w:pPr>
        <w:pStyle w:val="BodyText"/>
        <w:spacing w:before="2"/>
        <w:ind w:left="247" w:right="559"/>
      </w:pPr>
      <w:r>
        <w:rPr/>
        <w:t>Ensure the 3D printer is clean prior to use, including the imaging area and any optical surfaces. Ensure the material tray is clear of solid debris prior to commencing a print. The presence of solid particles in the resin may cause deformation or failure of the printed objects. Nitrile gloves should be worn at all times when handling Asiga liquid resins up until the finishing step. Avoid contact with skin. If contact with skin occurs, wash thoroughly with cold soapy water. If contact with eyes occur, remove any contact lenses and flush with cold water and seek immediate medical assistance.</w:t>
      </w:r>
    </w:p>
    <w:p>
      <w:pPr>
        <w:pStyle w:val="BodyText"/>
        <w:spacing w:before="7"/>
        <w:rPr>
          <w:sz w:val="15"/>
        </w:rPr>
      </w:pPr>
    </w:p>
    <w:p>
      <w:pPr>
        <w:pStyle w:val="Heading1"/>
        <w:spacing w:before="1"/>
        <w:rPr>
          <w:b w:val="0"/>
        </w:rPr>
      </w:pPr>
      <w:r>
        <w:rPr>
          <w:u w:val="single"/>
        </w:rPr>
        <w:t>Mixing Before Use</w:t>
      </w:r>
      <w:r>
        <w:rPr>
          <w:b w:val="0"/>
        </w:rPr>
        <w:t>:</w:t>
      </w:r>
    </w:p>
    <w:p>
      <w:pPr>
        <w:pStyle w:val="BodyText"/>
        <w:spacing w:before="3"/>
        <w:ind w:left="247"/>
      </w:pPr>
      <w:r>
        <w:rPr/>
        <w:t>In Bottle: Agitate/shake bottle vigorously prior to pouring for at least one minute.</w:t>
      </w:r>
    </w:p>
    <w:p>
      <w:pPr>
        <w:pStyle w:val="BodyText"/>
        <w:ind w:left="247" w:right="4188"/>
      </w:pPr>
      <w:r>
        <w:rPr/>
        <w:t>In Material Tray: Stir material with a soft spatula. Take care not to damage the film of the Material Tray. This step is necessary to re-disperse the (possible) pigment sediment from the bottom of the vessel.</w:t>
      </w:r>
    </w:p>
    <w:p>
      <w:pPr>
        <w:pStyle w:val="BodyText"/>
        <w:ind w:left="247"/>
      </w:pPr>
      <w:r>
        <w:rPr/>
        <w:t>Colour deviation and print failures may occur if insufficiently mixed.</w:t>
      </w:r>
    </w:p>
    <w:p>
      <w:pPr>
        <w:pStyle w:val="BodyText"/>
        <w:spacing w:before="8"/>
        <w:rPr>
          <w:sz w:val="15"/>
        </w:rPr>
      </w:pPr>
    </w:p>
    <w:p>
      <w:pPr>
        <w:pStyle w:val="Heading1"/>
        <w:rPr>
          <w:b w:val="0"/>
        </w:rPr>
      </w:pPr>
      <w:r>
        <w:rPr>
          <w:u w:val="single"/>
        </w:rPr>
        <w:t>Fill Material Tray</w:t>
      </w:r>
      <w:r>
        <w:rPr>
          <w:b w:val="0"/>
        </w:rPr>
        <w:t>:</w:t>
      </w:r>
    </w:p>
    <w:p>
      <w:pPr>
        <w:pStyle w:val="BodyText"/>
        <w:spacing w:before="4"/>
        <w:ind w:left="247" w:right="3355"/>
      </w:pPr>
      <w:r>
        <w:rPr/>
        <w:t>Ensure the temperature of the resin is between 15 and 30</w:t>
      </w:r>
      <w:r>
        <w:rPr>
          <w:rFonts w:ascii="Segoe UI Symbol" w:hAnsi="Segoe UI Symbol"/>
        </w:rPr>
        <w:t>°</w:t>
      </w:r>
      <w:r>
        <w:rPr/>
        <w:t>C / 59 and 86</w:t>
      </w:r>
      <w:r>
        <w:rPr>
          <w:rFonts w:ascii="Segoe UI Symbol" w:hAnsi="Segoe UI Symbol"/>
        </w:rPr>
        <w:t>°</w:t>
      </w:r>
      <w:r>
        <w:rPr/>
        <w:t>F and prevent exposure to direct sunlight. Pour the resin into the material tray of the 3D printer.</w:t>
      </w:r>
    </w:p>
    <w:p>
      <w:pPr>
        <w:pStyle w:val="BodyText"/>
        <w:spacing w:before="7"/>
        <w:rPr>
          <w:sz w:val="15"/>
        </w:rPr>
      </w:pPr>
    </w:p>
    <w:p>
      <w:pPr>
        <w:pStyle w:val="Heading1"/>
        <w:rPr>
          <w:b w:val="0"/>
        </w:rPr>
      </w:pPr>
      <w:r>
        <w:rPr>
          <w:u w:val="single"/>
        </w:rPr>
        <w:t>Printer Settings</w:t>
      </w:r>
      <w:r>
        <w:rPr>
          <w:b w:val="0"/>
        </w:rPr>
        <w:t>:</w:t>
      </w:r>
    </w:p>
    <w:p>
      <w:pPr>
        <w:pStyle w:val="BodyText"/>
        <w:spacing w:line="183" w:lineRule="exact" w:before="2"/>
        <w:ind w:left="247"/>
      </w:pPr>
      <w:r>
        <w:rPr/>
        <w:t>Asiga DentaGUIDE is optimised to build parts using light with 385nm wavelength.</w:t>
      </w:r>
    </w:p>
    <w:p>
      <w:pPr>
        <w:pStyle w:val="BodyText"/>
        <w:ind w:left="247" w:right="3355"/>
      </w:pPr>
      <w:r>
        <w:rPr/>
        <w:t>For Printer Settings, See manual or user guides of Asiga 3D Printers (Asiga Max Series or Asiga Pro Series). Ensure the film of the Material Tray is clear of any debris before starting the print.</w:t>
      </w:r>
    </w:p>
    <w:p>
      <w:pPr>
        <w:pStyle w:val="BodyText"/>
        <w:spacing w:before="2"/>
        <w:ind w:left="247" w:right="2498"/>
      </w:pPr>
      <w:r>
        <w:rPr/>
        <w:t>Ensure you are using the latest material ini file. You can access the latest material ini file for this material in your Asiga account online here: </w:t>
      </w:r>
      <w:hyperlink r:id="rId9">
        <w:r>
          <w:rPr>
            <w:color w:val="0000FF"/>
            <w:u w:val="single" w:color="0000FF"/>
          </w:rPr>
          <w:t>https://www.asiga.com/accounts/#tab_materia</w:t>
        </w:r>
        <w:r>
          <w:rPr>
            <w:color w:val="0000FF"/>
          </w:rPr>
          <w:t>l</w:t>
        </w:r>
      </w:hyperlink>
    </w:p>
    <w:p>
      <w:pPr>
        <w:spacing w:after="0"/>
        <w:sectPr>
          <w:headerReference w:type="default" r:id="rId5"/>
          <w:footerReference w:type="default" r:id="rId6"/>
          <w:type w:val="continuous"/>
          <w:pgSz w:w="11910" w:h="16840"/>
          <w:pgMar w:header="600" w:footer="861" w:top="2780" w:bottom="1060" w:left="180" w:right="0"/>
        </w:sectPr>
      </w:pPr>
    </w:p>
    <w:p>
      <w:pPr>
        <w:pStyle w:val="BodyText"/>
        <w:spacing w:before="1"/>
        <w:rPr>
          <w:sz w:val="12"/>
        </w:rPr>
      </w:pPr>
    </w:p>
    <w:p>
      <w:pPr>
        <w:pStyle w:val="BodyText"/>
        <w:ind w:left="3804"/>
        <w:rPr>
          <w:sz w:val="20"/>
        </w:rPr>
      </w:pPr>
      <w:r>
        <w:rPr>
          <w:sz w:val="20"/>
        </w:rPr>
        <w:drawing>
          <wp:inline distT="0" distB="0" distL="0" distR="0">
            <wp:extent cx="4781881" cy="429768"/>
            <wp:effectExtent l="0" t="0" r="0" b="0"/>
            <wp:docPr id="13" name="image6.png" descr=""/>
            <wp:cNvGraphicFramePr>
              <a:graphicFrameLocks noChangeAspect="1"/>
            </wp:cNvGraphicFramePr>
            <a:graphic>
              <a:graphicData uri="http://schemas.openxmlformats.org/drawingml/2006/picture">
                <pic:pic>
                  <pic:nvPicPr>
                    <pic:cNvPr id="14" name="image6.png"/>
                    <pic:cNvPicPr/>
                  </pic:nvPicPr>
                  <pic:blipFill>
                    <a:blip r:embed="rId7" cstate="print"/>
                    <a:stretch>
                      <a:fillRect/>
                    </a:stretch>
                  </pic:blipFill>
                  <pic:spPr>
                    <a:xfrm>
                      <a:off x="0" y="0"/>
                      <a:ext cx="4781881" cy="429768"/>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3"/>
        <w:rPr>
          <w:sz w:val="20"/>
        </w:rPr>
      </w:pPr>
    </w:p>
    <w:p>
      <w:pPr>
        <w:pStyle w:val="Heading1"/>
        <w:spacing w:before="96"/>
        <w:rPr>
          <w:b w:val="0"/>
        </w:rPr>
      </w:pPr>
      <w:r>
        <w:rPr>
          <w:u w:val="single"/>
        </w:rPr>
        <w:t>Washing</w:t>
      </w:r>
      <w:r>
        <w:rPr>
          <w:b w:val="0"/>
        </w:rPr>
        <w:t>:</w:t>
      </w:r>
    </w:p>
    <w:p>
      <w:pPr>
        <w:pStyle w:val="BodyText"/>
        <w:spacing w:before="3"/>
        <w:ind w:left="247" w:right="5789"/>
      </w:pPr>
      <w:r>
        <w:rPr/>
        <w:t>Wash parts in at least 98% pure isopropyl alcohol (IPA) in a well ventilated area. Best results are achieved when using a pre and post wash.</w:t>
      </w:r>
    </w:p>
    <w:p>
      <w:pPr>
        <w:pStyle w:val="BodyText"/>
        <w:tabs>
          <w:tab w:pos="967" w:val="left" w:leader="none"/>
        </w:tabs>
        <w:spacing w:before="1"/>
        <w:ind w:left="607"/>
      </w:pPr>
      <w:r>
        <w:rPr/>
        <w:t>1.</w:t>
        <w:tab/>
        <w:t>Using an ultrasonic cleaning</w:t>
      </w:r>
      <w:r>
        <w:rPr>
          <w:spacing w:val="-14"/>
        </w:rPr>
        <w:t> </w:t>
      </w:r>
      <w:r>
        <w:rPr/>
        <w:t>device:</w:t>
      </w:r>
    </w:p>
    <w:p>
      <w:pPr>
        <w:pStyle w:val="ListParagraph"/>
        <w:numPr>
          <w:ilvl w:val="0"/>
          <w:numId w:val="1"/>
        </w:numPr>
        <w:tabs>
          <w:tab w:pos="967" w:val="left" w:leader="none"/>
          <w:tab w:pos="968" w:val="left" w:leader="none"/>
        </w:tabs>
        <w:spacing w:line="183" w:lineRule="exact" w:before="1" w:after="0"/>
        <w:ind w:left="967" w:right="0" w:hanging="360"/>
        <w:jc w:val="left"/>
        <w:rPr>
          <w:sz w:val="16"/>
        </w:rPr>
      </w:pPr>
      <w:r>
        <w:rPr>
          <w:sz w:val="16"/>
        </w:rPr>
        <w:t>Pre-wash bath: 10</w:t>
      </w:r>
      <w:r>
        <w:rPr>
          <w:spacing w:val="-10"/>
          <w:sz w:val="16"/>
        </w:rPr>
        <w:t> </w:t>
      </w:r>
      <w:r>
        <w:rPr>
          <w:sz w:val="16"/>
        </w:rPr>
        <w:t>minutes.</w:t>
      </w:r>
    </w:p>
    <w:p>
      <w:pPr>
        <w:pStyle w:val="ListParagraph"/>
        <w:numPr>
          <w:ilvl w:val="0"/>
          <w:numId w:val="1"/>
        </w:numPr>
        <w:tabs>
          <w:tab w:pos="967" w:val="left" w:leader="none"/>
          <w:tab w:pos="968" w:val="left" w:leader="none"/>
        </w:tabs>
        <w:spacing w:line="183" w:lineRule="exact" w:before="0" w:after="0"/>
        <w:ind w:left="967" w:right="0" w:hanging="360"/>
        <w:jc w:val="left"/>
        <w:rPr>
          <w:sz w:val="16"/>
        </w:rPr>
      </w:pPr>
      <w:r>
        <w:rPr>
          <w:sz w:val="16"/>
        </w:rPr>
        <w:t>Post-wash bath: 5</w:t>
      </w:r>
      <w:r>
        <w:rPr>
          <w:spacing w:val="-12"/>
          <w:sz w:val="16"/>
        </w:rPr>
        <w:t> </w:t>
      </w:r>
      <w:r>
        <w:rPr>
          <w:sz w:val="16"/>
        </w:rPr>
        <w:t>minutes.</w:t>
      </w:r>
    </w:p>
    <w:p>
      <w:pPr>
        <w:pStyle w:val="BodyText"/>
        <w:ind w:left="247" w:right="977"/>
      </w:pPr>
      <w:r>
        <w:rPr/>
        <w:t>Important: Ensure a dedicated IPA bath is used for washing DentaGUIDE parts. Do not wash in IPA that has previously been used for washing other materials. Allow parts to dry thoroughly before post-curing.</w:t>
      </w:r>
    </w:p>
    <w:p>
      <w:pPr>
        <w:pStyle w:val="BodyText"/>
        <w:spacing w:before="7"/>
        <w:rPr>
          <w:sz w:val="15"/>
        </w:rPr>
      </w:pPr>
    </w:p>
    <w:p>
      <w:pPr>
        <w:pStyle w:val="Heading1"/>
        <w:rPr>
          <w:b w:val="0"/>
        </w:rPr>
      </w:pPr>
      <w:r>
        <w:rPr>
          <w:u w:val="single"/>
        </w:rPr>
        <w:t>Post-Curing</w:t>
      </w:r>
      <w:r>
        <w:rPr>
          <w:b w:val="0"/>
        </w:rPr>
        <w:t>:</w:t>
      </w:r>
    </w:p>
    <w:p>
      <w:pPr>
        <w:pStyle w:val="ListParagraph"/>
        <w:numPr>
          <w:ilvl w:val="0"/>
          <w:numId w:val="2"/>
        </w:numPr>
        <w:tabs>
          <w:tab w:pos="967" w:val="left" w:leader="none"/>
          <w:tab w:pos="968" w:val="left" w:leader="none"/>
        </w:tabs>
        <w:spacing w:line="183" w:lineRule="exact" w:before="2" w:after="0"/>
        <w:ind w:left="967" w:right="0" w:hanging="360"/>
        <w:jc w:val="left"/>
        <w:rPr>
          <w:sz w:val="16"/>
        </w:rPr>
      </w:pPr>
      <w:r>
        <w:rPr>
          <w:sz w:val="16"/>
        </w:rPr>
        <w:t>After</w:t>
      </w:r>
      <w:r>
        <w:rPr>
          <w:spacing w:val="-5"/>
          <w:sz w:val="16"/>
        </w:rPr>
        <w:t> </w:t>
      </w:r>
      <w:r>
        <w:rPr>
          <w:sz w:val="16"/>
        </w:rPr>
        <w:t>washing</w:t>
      </w:r>
      <w:r>
        <w:rPr>
          <w:spacing w:val="-2"/>
          <w:sz w:val="16"/>
        </w:rPr>
        <w:t> </w:t>
      </w:r>
      <w:r>
        <w:rPr>
          <w:sz w:val="16"/>
        </w:rPr>
        <w:t>and</w:t>
      </w:r>
      <w:r>
        <w:rPr>
          <w:spacing w:val="-2"/>
          <w:sz w:val="16"/>
        </w:rPr>
        <w:t> </w:t>
      </w:r>
      <w:r>
        <w:rPr>
          <w:sz w:val="16"/>
        </w:rPr>
        <w:t>drying,</w:t>
      </w:r>
      <w:r>
        <w:rPr>
          <w:spacing w:val="-1"/>
          <w:sz w:val="16"/>
        </w:rPr>
        <w:t> </w:t>
      </w:r>
      <w:r>
        <w:rPr>
          <w:sz w:val="16"/>
        </w:rPr>
        <w:t>let</w:t>
      </w:r>
      <w:r>
        <w:rPr>
          <w:spacing w:val="-3"/>
          <w:sz w:val="16"/>
        </w:rPr>
        <w:t> </w:t>
      </w:r>
      <w:r>
        <w:rPr>
          <w:sz w:val="16"/>
        </w:rPr>
        <w:t>the</w:t>
      </w:r>
      <w:r>
        <w:rPr>
          <w:spacing w:val="-2"/>
          <w:sz w:val="16"/>
        </w:rPr>
        <w:t> </w:t>
      </w:r>
      <w:r>
        <w:rPr>
          <w:sz w:val="16"/>
        </w:rPr>
        <w:t>printed</w:t>
      </w:r>
      <w:r>
        <w:rPr>
          <w:spacing w:val="-2"/>
          <w:sz w:val="16"/>
        </w:rPr>
        <w:t> </w:t>
      </w:r>
      <w:r>
        <w:rPr>
          <w:sz w:val="16"/>
        </w:rPr>
        <w:t>parts</w:t>
      </w:r>
      <w:r>
        <w:rPr>
          <w:spacing w:val="-3"/>
          <w:sz w:val="16"/>
        </w:rPr>
        <w:t> </w:t>
      </w:r>
      <w:r>
        <w:rPr>
          <w:sz w:val="16"/>
        </w:rPr>
        <w:t>rest</w:t>
      </w:r>
      <w:r>
        <w:rPr>
          <w:spacing w:val="-3"/>
          <w:sz w:val="16"/>
        </w:rPr>
        <w:t> </w:t>
      </w:r>
      <w:r>
        <w:rPr>
          <w:sz w:val="16"/>
        </w:rPr>
        <w:t>for</w:t>
      </w:r>
      <w:r>
        <w:rPr>
          <w:spacing w:val="-2"/>
          <w:sz w:val="16"/>
        </w:rPr>
        <w:t> </w:t>
      </w:r>
      <w:r>
        <w:rPr>
          <w:sz w:val="16"/>
        </w:rPr>
        <w:t>at</w:t>
      </w:r>
      <w:r>
        <w:rPr>
          <w:spacing w:val="-3"/>
          <w:sz w:val="16"/>
        </w:rPr>
        <w:t> </w:t>
      </w:r>
      <w:r>
        <w:rPr>
          <w:sz w:val="16"/>
        </w:rPr>
        <w:t>least</w:t>
      </w:r>
      <w:r>
        <w:rPr>
          <w:spacing w:val="-1"/>
          <w:sz w:val="16"/>
        </w:rPr>
        <w:t> </w:t>
      </w:r>
      <w:r>
        <w:rPr>
          <w:sz w:val="16"/>
        </w:rPr>
        <w:t>30</w:t>
      </w:r>
      <w:r>
        <w:rPr>
          <w:spacing w:val="-7"/>
          <w:sz w:val="16"/>
        </w:rPr>
        <w:t> </w:t>
      </w:r>
      <w:r>
        <w:rPr>
          <w:sz w:val="16"/>
        </w:rPr>
        <w:t>minutes</w:t>
      </w:r>
      <w:r>
        <w:rPr>
          <w:spacing w:val="-3"/>
          <w:sz w:val="16"/>
        </w:rPr>
        <w:t> </w:t>
      </w:r>
      <w:r>
        <w:rPr>
          <w:sz w:val="16"/>
        </w:rPr>
        <w:t>to</w:t>
      </w:r>
      <w:r>
        <w:rPr>
          <w:spacing w:val="-2"/>
          <w:sz w:val="16"/>
        </w:rPr>
        <w:t> </w:t>
      </w:r>
      <w:r>
        <w:rPr>
          <w:sz w:val="16"/>
        </w:rPr>
        <w:t>ensure</w:t>
      </w:r>
      <w:r>
        <w:rPr>
          <w:spacing w:val="-2"/>
          <w:sz w:val="16"/>
        </w:rPr>
        <w:t> </w:t>
      </w:r>
      <w:r>
        <w:rPr>
          <w:sz w:val="16"/>
        </w:rPr>
        <w:t>that</w:t>
      </w:r>
      <w:r>
        <w:rPr>
          <w:spacing w:val="-3"/>
          <w:sz w:val="16"/>
        </w:rPr>
        <w:t> </w:t>
      </w:r>
      <w:r>
        <w:rPr>
          <w:sz w:val="16"/>
        </w:rPr>
        <w:t>the</w:t>
      </w:r>
      <w:r>
        <w:rPr>
          <w:spacing w:val="-2"/>
          <w:sz w:val="16"/>
        </w:rPr>
        <w:t> </w:t>
      </w:r>
      <w:r>
        <w:rPr>
          <w:sz w:val="16"/>
        </w:rPr>
        <w:t>printed</w:t>
      </w:r>
      <w:r>
        <w:rPr>
          <w:spacing w:val="-4"/>
          <w:sz w:val="16"/>
        </w:rPr>
        <w:t> </w:t>
      </w:r>
      <w:r>
        <w:rPr>
          <w:sz w:val="16"/>
        </w:rPr>
        <w:t>parts are</w:t>
      </w:r>
      <w:r>
        <w:rPr>
          <w:spacing w:val="-4"/>
          <w:sz w:val="16"/>
        </w:rPr>
        <w:t> </w:t>
      </w:r>
      <w:r>
        <w:rPr>
          <w:sz w:val="16"/>
        </w:rPr>
        <w:t>free</w:t>
      </w:r>
      <w:r>
        <w:rPr>
          <w:spacing w:val="-2"/>
          <w:sz w:val="16"/>
        </w:rPr>
        <w:t> </w:t>
      </w:r>
      <w:r>
        <w:rPr>
          <w:sz w:val="16"/>
        </w:rPr>
        <w:t>of</w:t>
      </w:r>
      <w:r>
        <w:rPr>
          <w:spacing w:val="-3"/>
          <w:sz w:val="16"/>
        </w:rPr>
        <w:t> </w:t>
      </w:r>
      <w:r>
        <w:rPr>
          <w:sz w:val="16"/>
        </w:rPr>
        <w:t>alcohol</w:t>
      </w:r>
      <w:r>
        <w:rPr>
          <w:spacing w:val="-4"/>
          <w:sz w:val="16"/>
        </w:rPr>
        <w:t> </w:t>
      </w:r>
      <w:r>
        <w:rPr>
          <w:sz w:val="16"/>
        </w:rPr>
        <w:t>residue.</w:t>
      </w:r>
    </w:p>
    <w:p>
      <w:pPr>
        <w:pStyle w:val="ListParagraph"/>
        <w:numPr>
          <w:ilvl w:val="0"/>
          <w:numId w:val="2"/>
        </w:numPr>
        <w:tabs>
          <w:tab w:pos="967" w:val="left" w:leader="none"/>
          <w:tab w:pos="968" w:val="left" w:leader="none"/>
        </w:tabs>
        <w:spacing w:line="183" w:lineRule="exact" w:before="0" w:after="0"/>
        <w:ind w:left="967" w:right="0" w:hanging="360"/>
        <w:jc w:val="left"/>
        <w:rPr>
          <w:sz w:val="16"/>
        </w:rPr>
      </w:pPr>
      <w:r>
        <w:rPr>
          <w:sz w:val="16"/>
        </w:rPr>
        <w:t>Place the printed parts in UV curing unit “NK Optik Otoflash G171” for 2000</w:t>
      </w:r>
      <w:r>
        <w:rPr>
          <w:spacing w:val="-31"/>
          <w:sz w:val="16"/>
        </w:rPr>
        <w:t> </w:t>
      </w:r>
      <w:r>
        <w:rPr>
          <w:sz w:val="16"/>
        </w:rPr>
        <w:t>flashes.</w:t>
      </w:r>
    </w:p>
    <w:p>
      <w:pPr>
        <w:pStyle w:val="ListParagraph"/>
        <w:numPr>
          <w:ilvl w:val="0"/>
          <w:numId w:val="2"/>
        </w:numPr>
        <w:tabs>
          <w:tab w:pos="967" w:val="left" w:leader="none"/>
          <w:tab w:pos="968" w:val="left" w:leader="none"/>
        </w:tabs>
        <w:spacing w:line="240" w:lineRule="auto" w:before="1" w:after="0"/>
        <w:ind w:left="967" w:right="0" w:hanging="360"/>
        <w:jc w:val="left"/>
        <w:rPr>
          <w:sz w:val="16"/>
        </w:rPr>
      </w:pPr>
      <w:r>
        <w:rPr>
          <w:sz w:val="16"/>
        </w:rPr>
        <w:t>Turn</w:t>
      </w:r>
      <w:r>
        <w:rPr>
          <w:spacing w:val="-2"/>
          <w:sz w:val="16"/>
        </w:rPr>
        <w:t> </w:t>
      </w:r>
      <w:r>
        <w:rPr>
          <w:sz w:val="16"/>
        </w:rPr>
        <w:t>parts</w:t>
      </w:r>
      <w:r>
        <w:rPr>
          <w:spacing w:val="-3"/>
          <w:sz w:val="16"/>
        </w:rPr>
        <w:t> </w:t>
      </w:r>
      <w:r>
        <w:rPr>
          <w:sz w:val="16"/>
        </w:rPr>
        <w:t>over</w:t>
      </w:r>
      <w:r>
        <w:rPr>
          <w:spacing w:val="-2"/>
          <w:sz w:val="16"/>
        </w:rPr>
        <w:t> </w:t>
      </w:r>
      <w:r>
        <w:rPr>
          <w:sz w:val="16"/>
        </w:rPr>
        <w:t>and</w:t>
      </w:r>
      <w:r>
        <w:rPr>
          <w:spacing w:val="-2"/>
          <w:sz w:val="16"/>
        </w:rPr>
        <w:t> </w:t>
      </w:r>
      <w:r>
        <w:rPr>
          <w:sz w:val="16"/>
        </w:rPr>
        <w:t>allow</w:t>
      </w:r>
      <w:r>
        <w:rPr>
          <w:spacing w:val="-5"/>
          <w:sz w:val="16"/>
        </w:rPr>
        <w:t> </w:t>
      </w:r>
      <w:r>
        <w:rPr>
          <w:sz w:val="16"/>
        </w:rPr>
        <w:t>to</w:t>
      </w:r>
      <w:r>
        <w:rPr>
          <w:spacing w:val="-4"/>
          <w:sz w:val="16"/>
        </w:rPr>
        <w:t> </w:t>
      </w:r>
      <w:r>
        <w:rPr>
          <w:sz w:val="16"/>
        </w:rPr>
        <w:t>cool</w:t>
      </w:r>
      <w:r>
        <w:rPr>
          <w:spacing w:val="-3"/>
          <w:sz w:val="16"/>
        </w:rPr>
        <w:t> </w:t>
      </w:r>
      <w:r>
        <w:rPr>
          <w:sz w:val="16"/>
        </w:rPr>
        <w:t>for</w:t>
      </w:r>
      <w:r>
        <w:rPr>
          <w:spacing w:val="-2"/>
          <w:sz w:val="16"/>
        </w:rPr>
        <w:t> </w:t>
      </w:r>
      <w:r>
        <w:rPr>
          <w:sz w:val="16"/>
        </w:rPr>
        <w:t>5</w:t>
      </w:r>
      <w:r>
        <w:rPr>
          <w:spacing w:val="-4"/>
          <w:sz w:val="16"/>
        </w:rPr>
        <w:t> </w:t>
      </w:r>
      <w:r>
        <w:rPr>
          <w:sz w:val="16"/>
        </w:rPr>
        <w:t>minutes</w:t>
      </w:r>
      <w:r>
        <w:rPr>
          <w:spacing w:val="-3"/>
          <w:sz w:val="16"/>
        </w:rPr>
        <w:t> </w:t>
      </w:r>
      <w:r>
        <w:rPr>
          <w:sz w:val="16"/>
        </w:rPr>
        <w:t>then</w:t>
      </w:r>
      <w:r>
        <w:rPr>
          <w:spacing w:val="-2"/>
          <w:sz w:val="16"/>
        </w:rPr>
        <w:t> </w:t>
      </w:r>
      <w:r>
        <w:rPr>
          <w:sz w:val="16"/>
        </w:rPr>
        <w:t>repeat.</w:t>
      </w:r>
      <w:r>
        <w:rPr>
          <w:spacing w:val="-3"/>
          <w:sz w:val="16"/>
        </w:rPr>
        <w:t> </w:t>
      </w:r>
      <w:r>
        <w:rPr>
          <w:sz w:val="16"/>
        </w:rPr>
        <w:t>Total:</w:t>
      </w:r>
      <w:r>
        <w:rPr>
          <w:spacing w:val="-3"/>
          <w:sz w:val="16"/>
        </w:rPr>
        <w:t> </w:t>
      </w:r>
      <w:r>
        <w:rPr>
          <w:sz w:val="16"/>
        </w:rPr>
        <w:t>8000</w:t>
      </w:r>
      <w:r>
        <w:rPr>
          <w:spacing w:val="-2"/>
          <w:sz w:val="16"/>
        </w:rPr>
        <w:t> </w:t>
      </w:r>
      <w:r>
        <w:rPr>
          <w:sz w:val="16"/>
        </w:rPr>
        <w:t>flashes</w:t>
      </w:r>
      <w:r>
        <w:rPr>
          <w:spacing w:val="-3"/>
          <w:sz w:val="16"/>
        </w:rPr>
        <w:t> </w:t>
      </w:r>
      <w:r>
        <w:rPr>
          <w:sz w:val="16"/>
        </w:rPr>
        <w:t>(4</w:t>
      </w:r>
      <w:r>
        <w:rPr>
          <w:spacing w:val="-2"/>
          <w:sz w:val="16"/>
        </w:rPr>
        <w:t> </w:t>
      </w:r>
      <w:r>
        <w:rPr>
          <w:sz w:val="16"/>
        </w:rPr>
        <w:t>x</w:t>
      </w:r>
      <w:r>
        <w:rPr>
          <w:spacing w:val="-5"/>
          <w:sz w:val="16"/>
        </w:rPr>
        <w:t> </w:t>
      </w:r>
      <w:r>
        <w:rPr>
          <w:sz w:val="16"/>
        </w:rPr>
        <w:t>2000</w:t>
      </w:r>
      <w:r>
        <w:rPr>
          <w:spacing w:val="-2"/>
          <w:sz w:val="16"/>
        </w:rPr>
        <w:t> </w:t>
      </w:r>
      <w:r>
        <w:rPr>
          <w:sz w:val="16"/>
        </w:rPr>
        <w:t>flashes).</w:t>
      </w:r>
    </w:p>
    <w:p>
      <w:pPr>
        <w:pStyle w:val="BodyText"/>
        <w:ind w:left="247" w:right="755"/>
      </w:pPr>
      <w:r>
        <w:rPr/>
        <w:t>Post-curing is an UV-light treatment to ensure that DentaGUIDE printed parts obtain optimal polymer conversion. Through this the residual monomer is reduced to a minimum and the required mechanical properties are obtained. We advise use of the NK Optik Otoflash G171 post-curing box. Place parts inside the G171 Otoflash chamber on the support mesh, do not use a plastic tray inside the chamber. Inert gas is not required. Please see NK Optik Otoflash G171 user guide.</w:t>
      </w:r>
    </w:p>
    <w:p>
      <w:pPr>
        <w:pStyle w:val="BodyText"/>
        <w:spacing w:before="7"/>
        <w:rPr>
          <w:sz w:val="15"/>
        </w:rPr>
      </w:pPr>
    </w:p>
    <w:p>
      <w:pPr>
        <w:pStyle w:val="Heading1"/>
        <w:spacing w:before="1"/>
        <w:rPr>
          <w:b w:val="0"/>
        </w:rPr>
      </w:pPr>
      <w:r>
        <w:rPr>
          <w:u w:val="single"/>
        </w:rPr>
        <w:t>Soaking</w:t>
      </w:r>
      <w:r>
        <w:rPr>
          <w:b w:val="0"/>
        </w:rPr>
        <w:t>:</w:t>
      </w:r>
    </w:p>
    <w:p>
      <w:pPr>
        <w:pStyle w:val="BodyText"/>
        <w:spacing w:before="3"/>
        <w:ind w:left="247"/>
      </w:pPr>
      <w:r>
        <w:rPr/>
        <w:t>After post-curing, soak DentaGUIDE parts in fresh drinkable water at room temperature for 60 minutes.</w:t>
      </w:r>
    </w:p>
    <w:p>
      <w:pPr>
        <w:pStyle w:val="BodyText"/>
        <w:spacing w:before="7"/>
        <w:rPr>
          <w:sz w:val="15"/>
        </w:rPr>
      </w:pPr>
    </w:p>
    <w:p>
      <w:pPr>
        <w:pStyle w:val="Heading1"/>
        <w:spacing w:before="1"/>
        <w:rPr>
          <w:b w:val="0"/>
        </w:rPr>
      </w:pPr>
      <w:r>
        <w:rPr>
          <w:u w:val="single"/>
        </w:rPr>
        <w:t>Finishing</w:t>
      </w:r>
      <w:r>
        <w:rPr>
          <w:b w:val="0"/>
        </w:rPr>
        <w:t>:</w:t>
      </w:r>
    </w:p>
    <w:p>
      <w:pPr>
        <w:pStyle w:val="BodyText"/>
        <w:spacing w:before="3"/>
        <w:ind w:left="247" w:right="505"/>
      </w:pPr>
      <w:r>
        <w:rPr/>
        <w:t>Remove any support structures and finish cured parts, if necessary, using conventional dental methods and instruments. If disinfecting before intended use is required, an ethanol solution can be used. DentaGUIDE maintains its mechanical properties upon standard steam sterilisation protocol using an autoclave. It is recommended to use the following method of sterilisation:</w:t>
      </w:r>
    </w:p>
    <w:p>
      <w:pPr>
        <w:pStyle w:val="ListParagraph"/>
        <w:numPr>
          <w:ilvl w:val="0"/>
          <w:numId w:val="3"/>
        </w:numPr>
        <w:tabs>
          <w:tab w:pos="967" w:val="left" w:leader="none"/>
          <w:tab w:pos="968" w:val="left" w:leader="none"/>
        </w:tabs>
        <w:spacing w:line="195" w:lineRule="exact" w:before="1" w:after="0"/>
        <w:ind w:left="967" w:right="0" w:hanging="360"/>
        <w:jc w:val="left"/>
        <w:rPr>
          <w:sz w:val="16"/>
        </w:rPr>
      </w:pPr>
      <w:r>
        <w:rPr>
          <w:sz w:val="16"/>
        </w:rPr>
        <w:t>Place the dental surgical guide in a standard sterilisation</w:t>
      </w:r>
      <w:r>
        <w:rPr>
          <w:spacing w:val="-25"/>
          <w:sz w:val="16"/>
        </w:rPr>
        <w:t> </w:t>
      </w:r>
      <w:r>
        <w:rPr>
          <w:sz w:val="16"/>
        </w:rPr>
        <w:t>pouch.</w:t>
      </w:r>
    </w:p>
    <w:p>
      <w:pPr>
        <w:pStyle w:val="ListParagraph"/>
        <w:numPr>
          <w:ilvl w:val="0"/>
          <w:numId w:val="3"/>
        </w:numPr>
        <w:tabs>
          <w:tab w:pos="967" w:val="left" w:leader="none"/>
          <w:tab w:pos="968" w:val="left" w:leader="none"/>
        </w:tabs>
        <w:spacing w:line="188" w:lineRule="exact" w:before="20" w:after="0"/>
        <w:ind w:left="967" w:right="528" w:hanging="360"/>
        <w:jc w:val="left"/>
        <w:rPr>
          <w:sz w:val="16"/>
        </w:rPr>
      </w:pPr>
      <w:r>
        <w:rPr>
          <w:sz w:val="16"/>
        </w:rPr>
        <w:t>Apply sterilisation by placing the pouch containing the dental surgical guide in an autoclave for 15 minutes at 121</w:t>
      </w:r>
      <w:r>
        <w:rPr>
          <w:rFonts w:ascii="Segoe UI Symbol" w:hAnsi="Segoe UI Symbol"/>
          <w:sz w:val="16"/>
        </w:rPr>
        <w:t>°</w:t>
      </w:r>
      <w:r>
        <w:rPr>
          <w:sz w:val="16"/>
        </w:rPr>
        <w:t>C or 3 minutes at 134</w:t>
      </w:r>
      <w:r>
        <w:rPr>
          <w:rFonts w:ascii="Segoe UI Symbol" w:hAnsi="Segoe UI Symbol"/>
          <w:sz w:val="16"/>
        </w:rPr>
        <w:t>°</w:t>
      </w:r>
      <w:r>
        <w:rPr>
          <w:sz w:val="16"/>
        </w:rPr>
        <w:t>C. Make sure no mechanical forces are applied to the guide during</w:t>
      </w:r>
      <w:r>
        <w:rPr>
          <w:spacing w:val="-30"/>
          <w:sz w:val="16"/>
        </w:rPr>
        <w:t> </w:t>
      </w:r>
      <w:r>
        <w:rPr>
          <w:sz w:val="16"/>
        </w:rPr>
        <w:t>sterilisation.</w:t>
      </w:r>
    </w:p>
    <w:p>
      <w:pPr>
        <w:pStyle w:val="ListParagraph"/>
        <w:numPr>
          <w:ilvl w:val="0"/>
          <w:numId w:val="3"/>
        </w:numPr>
        <w:tabs>
          <w:tab w:pos="967" w:val="left" w:leader="none"/>
          <w:tab w:pos="968" w:val="left" w:leader="none"/>
        </w:tabs>
        <w:spacing w:line="182" w:lineRule="exact" w:before="13" w:after="0"/>
        <w:ind w:left="967" w:right="647" w:hanging="360"/>
        <w:jc w:val="left"/>
        <w:rPr>
          <w:sz w:val="16"/>
        </w:rPr>
      </w:pPr>
      <w:r>
        <w:rPr>
          <w:sz w:val="16"/>
        </w:rPr>
        <w:t>Let the dental surgical guide cool down to room temperature before using the device. Make sure no mechanical forces are applied to the dental surgical guide during the cooling </w:t>
      </w:r>
      <w:r>
        <w:rPr>
          <w:spacing w:val="-3"/>
          <w:sz w:val="16"/>
        </w:rPr>
        <w:t>down</w:t>
      </w:r>
      <w:r>
        <w:rPr>
          <w:spacing w:val="-6"/>
          <w:sz w:val="16"/>
        </w:rPr>
        <w:t> </w:t>
      </w:r>
      <w:r>
        <w:rPr>
          <w:sz w:val="16"/>
        </w:rPr>
        <w:t>period.</w:t>
      </w:r>
    </w:p>
    <w:p>
      <w:pPr>
        <w:pStyle w:val="ListParagraph"/>
        <w:numPr>
          <w:ilvl w:val="0"/>
          <w:numId w:val="3"/>
        </w:numPr>
        <w:tabs>
          <w:tab w:pos="967" w:val="left" w:leader="none"/>
          <w:tab w:pos="968" w:val="left" w:leader="none"/>
        </w:tabs>
        <w:spacing w:line="182" w:lineRule="exact" w:before="15" w:after="0"/>
        <w:ind w:left="967" w:right="804" w:hanging="360"/>
        <w:jc w:val="left"/>
        <w:rPr>
          <w:sz w:val="16"/>
        </w:rPr>
      </w:pPr>
      <w:r>
        <w:rPr>
          <w:sz w:val="16"/>
        </w:rPr>
        <w:t>Please make sure that the dental surgical guide is fully post-cured before sterilisation. This is important with regard to form stability. For post- curing procedure, please see section</w:t>
      </w:r>
      <w:r>
        <w:rPr>
          <w:spacing w:val="-20"/>
          <w:sz w:val="16"/>
        </w:rPr>
        <w:t> </w:t>
      </w:r>
      <w:r>
        <w:rPr>
          <w:sz w:val="16"/>
        </w:rPr>
        <w:t>above.</w:t>
      </w:r>
    </w:p>
    <w:p>
      <w:pPr>
        <w:pStyle w:val="BodyText"/>
        <w:spacing w:line="183" w:lineRule="exact"/>
        <w:ind w:left="247"/>
      </w:pPr>
      <w:r>
        <w:rPr/>
        <w:t>Asiga printed cured parts should be cleaned with nonchemical products.</w:t>
      </w:r>
    </w:p>
    <w:p>
      <w:pPr>
        <w:pStyle w:val="BodyText"/>
        <w:spacing w:before="8"/>
        <w:rPr>
          <w:sz w:val="15"/>
        </w:rPr>
      </w:pPr>
    </w:p>
    <w:p>
      <w:pPr>
        <w:pStyle w:val="Heading1"/>
        <w:rPr>
          <w:b w:val="0"/>
        </w:rPr>
      </w:pPr>
      <w:r>
        <w:rPr>
          <w:u w:val="single"/>
        </w:rPr>
        <w:t>Storage Conditions, Expiry Date &amp; Transport</w:t>
      </w:r>
      <w:r>
        <w:rPr>
          <w:b w:val="0"/>
        </w:rPr>
        <w:t>:</w:t>
      </w:r>
    </w:p>
    <w:p>
      <w:pPr>
        <w:pStyle w:val="BodyText"/>
        <w:spacing w:before="3"/>
        <w:ind w:left="247" w:right="2533"/>
      </w:pPr>
      <w:r>
        <w:rPr/>
        <w:t>Store the resin in the original packaging at room temperature in a dry, cool and dark area. Close the packaging after each use. The expiry date of the product is mentioned on the product label along with the lot number.</w:t>
      </w:r>
    </w:p>
    <w:p>
      <w:pPr>
        <w:pStyle w:val="BodyText"/>
        <w:spacing w:before="1"/>
        <w:ind w:left="247" w:right="3600"/>
      </w:pPr>
      <w:r>
        <w:rPr/>
        <w:t>Store on printer for up to 4 weeks with hood closed or store in bottle for up to 36 months in a cool dark place. The product performance is no longer guaranteed once the expiry date is exceeded. Do not expose to UV-light.</w:t>
      </w:r>
    </w:p>
    <w:p>
      <w:pPr>
        <w:pStyle w:val="BodyText"/>
        <w:spacing w:line="182" w:lineRule="exact"/>
        <w:ind w:left="247"/>
      </w:pPr>
      <w:r>
        <w:rPr/>
        <w:t>Standard transport conditions apply to this product. There are no restrictions for transport related to hazardous substances.</w:t>
      </w:r>
    </w:p>
    <w:p>
      <w:pPr>
        <w:pStyle w:val="BodyText"/>
        <w:spacing w:before="10"/>
        <w:rPr>
          <w:sz w:val="15"/>
        </w:rPr>
      </w:pPr>
    </w:p>
    <w:p>
      <w:pPr>
        <w:pStyle w:val="Heading1"/>
        <w:rPr>
          <w:b w:val="0"/>
        </w:rPr>
      </w:pPr>
      <w:r>
        <w:rPr>
          <w:u w:val="single"/>
        </w:rPr>
        <w:t>Waste Disposal</w:t>
      </w:r>
      <w:r>
        <w:rPr>
          <w:b w:val="0"/>
        </w:rPr>
        <w:t>:</w:t>
      </w:r>
    </w:p>
    <w:p>
      <w:pPr>
        <w:pStyle w:val="BodyText"/>
        <w:ind w:left="247" w:right="568"/>
      </w:pPr>
      <w:r>
        <w:rPr/>
        <w:t>Asiga resin in its polymerized form is not environmentally harmful thus can be disposed of in general waste. Asiga resin in its liquid state should be treated as chemical waste. Special disposal requirements are applicable, check with your local, federal, or other regulatory agencies for disposal requirements.</w:t>
      </w:r>
    </w:p>
    <w:p>
      <w:pPr>
        <w:pStyle w:val="BodyText"/>
        <w:spacing w:before="8"/>
        <w:rPr>
          <w:sz w:val="15"/>
        </w:rPr>
      </w:pPr>
    </w:p>
    <w:p>
      <w:pPr>
        <w:pStyle w:val="Heading1"/>
        <w:rPr>
          <w:b w:val="0"/>
        </w:rPr>
      </w:pPr>
      <w:r>
        <w:rPr>
          <w:u w:val="single"/>
        </w:rPr>
        <w:t>Information for Dental Professionals &amp; Patients</w:t>
      </w:r>
      <w:r>
        <w:rPr>
          <w:b w:val="0"/>
        </w:rPr>
        <w:t>:</w:t>
      </w:r>
    </w:p>
    <w:p>
      <w:pPr>
        <w:pStyle w:val="BodyText"/>
        <w:spacing w:before="3"/>
        <w:ind w:left="247"/>
      </w:pPr>
      <w:r>
        <w:rPr/>
        <w:t>The following information should be transferred from dental professional to patient:</w:t>
      </w:r>
    </w:p>
    <w:p>
      <w:pPr>
        <w:pStyle w:val="ListParagraph"/>
        <w:numPr>
          <w:ilvl w:val="0"/>
          <w:numId w:val="4"/>
        </w:numPr>
        <w:tabs>
          <w:tab w:pos="967" w:val="left" w:leader="none"/>
          <w:tab w:pos="968" w:val="left" w:leader="none"/>
        </w:tabs>
        <w:spacing w:line="240" w:lineRule="auto" w:before="0" w:after="0"/>
        <w:ind w:left="967" w:right="498" w:hanging="360"/>
        <w:jc w:val="left"/>
        <w:rPr>
          <w:sz w:val="16"/>
        </w:rPr>
      </w:pPr>
      <w:r>
        <w:rPr>
          <w:sz w:val="16"/>
        </w:rPr>
        <w:t>Periodic</w:t>
      </w:r>
      <w:r>
        <w:rPr>
          <w:spacing w:val="-2"/>
          <w:sz w:val="16"/>
        </w:rPr>
        <w:t> </w:t>
      </w:r>
      <w:r>
        <w:rPr>
          <w:sz w:val="16"/>
        </w:rPr>
        <w:t>check-ups by</w:t>
      </w:r>
      <w:r>
        <w:rPr>
          <w:spacing w:val="-3"/>
          <w:sz w:val="16"/>
        </w:rPr>
        <w:t> </w:t>
      </w:r>
      <w:r>
        <w:rPr>
          <w:sz w:val="16"/>
        </w:rPr>
        <w:t>a</w:t>
      </w:r>
      <w:r>
        <w:rPr>
          <w:spacing w:val="-4"/>
          <w:sz w:val="16"/>
        </w:rPr>
        <w:t> </w:t>
      </w:r>
      <w:r>
        <w:rPr>
          <w:sz w:val="16"/>
        </w:rPr>
        <w:t>dentists or</w:t>
      </w:r>
      <w:r>
        <w:rPr>
          <w:spacing w:val="-2"/>
          <w:sz w:val="16"/>
        </w:rPr>
        <w:t> </w:t>
      </w:r>
      <w:r>
        <w:rPr>
          <w:sz w:val="16"/>
        </w:rPr>
        <w:t>denturist</w:t>
      </w:r>
      <w:r>
        <w:rPr>
          <w:spacing w:val="-1"/>
          <w:sz w:val="16"/>
        </w:rPr>
        <w:t> </w:t>
      </w:r>
      <w:r>
        <w:rPr>
          <w:sz w:val="16"/>
        </w:rPr>
        <w:t>are</w:t>
      </w:r>
      <w:r>
        <w:rPr>
          <w:spacing w:val="-2"/>
          <w:sz w:val="16"/>
        </w:rPr>
        <w:t> </w:t>
      </w:r>
      <w:r>
        <w:rPr>
          <w:sz w:val="16"/>
        </w:rPr>
        <w:t>required</w:t>
      </w:r>
      <w:r>
        <w:rPr>
          <w:spacing w:val="-2"/>
          <w:sz w:val="16"/>
        </w:rPr>
        <w:t> </w:t>
      </w:r>
      <w:r>
        <w:rPr>
          <w:sz w:val="16"/>
        </w:rPr>
        <w:t>to</w:t>
      </w:r>
      <w:r>
        <w:rPr>
          <w:spacing w:val="-7"/>
          <w:sz w:val="16"/>
        </w:rPr>
        <w:t> </w:t>
      </w:r>
      <w:r>
        <w:rPr>
          <w:sz w:val="16"/>
        </w:rPr>
        <w:t>monitor</w:t>
      </w:r>
      <w:r>
        <w:rPr>
          <w:spacing w:val="-4"/>
          <w:sz w:val="16"/>
        </w:rPr>
        <w:t> </w:t>
      </w:r>
      <w:r>
        <w:rPr>
          <w:sz w:val="16"/>
        </w:rPr>
        <w:t>changes</w:t>
      </w:r>
      <w:r>
        <w:rPr>
          <w:spacing w:val="-3"/>
          <w:sz w:val="16"/>
        </w:rPr>
        <w:t> </w:t>
      </w:r>
      <w:r>
        <w:rPr>
          <w:sz w:val="16"/>
        </w:rPr>
        <w:t>in</w:t>
      </w:r>
      <w:r>
        <w:rPr>
          <w:spacing w:val="-2"/>
          <w:sz w:val="16"/>
        </w:rPr>
        <w:t> </w:t>
      </w:r>
      <w:r>
        <w:rPr>
          <w:sz w:val="16"/>
        </w:rPr>
        <w:t>the</w:t>
      </w:r>
      <w:r>
        <w:rPr>
          <w:spacing w:val="-4"/>
          <w:sz w:val="16"/>
        </w:rPr>
        <w:t> </w:t>
      </w:r>
      <w:r>
        <w:rPr>
          <w:sz w:val="16"/>
        </w:rPr>
        <w:t>form</w:t>
      </w:r>
      <w:r>
        <w:rPr>
          <w:spacing w:val="-1"/>
          <w:sz w:val="16"/>
        </w:rPr>
        <w:t> </w:t>
      </w:r>
      <w:r>
        <w:rPr>
          <w:sz w:val="16"/>
        </w:rPr>
        <w:t>&amp;</w:t>
      </w:r>
      <w:r>
        <w:rPr>
          <w:spacing w:val="-5"/>
          <w:sz w:val="16"/>
        </w:rPr>
        <w:t> </w:t>
      </w:r>
      <w:r>
        <w:rPr>
          <w:sz w:val="16"/>
        </w:rPr>
        <w:t>structure</w:t>
      </w:r>
      <w:r>
        <w:rPr>
          <w:spacing w:val="-2"/>
          <w:sz w:val="16"/>
        </w:rPr>
        <w:t> </w:t>
      </w:r>
      <w:r>
        <w:rPr>
          <w:sz w:val="16"/>
        </w:rPr>
        <w:t>of</w:t>
      </w:r>
      <w:r>
        <w:rPr>
          <w:spacing w:val="-5"/>
          <w:sz w:val="16"/>
        </w:rPr>
        <w:t> </w:t>
      </w:r>
      <w:r>
        <w:rPr>
          <w:sz w:val="16"/>
        </w:rPr>
        <w:t>the</w:t>
      </w:r>
      <w:r>
        <w:rPr>
          <w:spacing w:val="-2"/>
          <w:sz w:val="16"/>
        </w:rPr>
        <w:t> </w:t>
      </w:r>
      <w:r>
        <w:rPr>
          <w:sz w:val="16"/>
        </w:rPr>
        <w:t>residual</w:t>
      </w:r>
      <w:r>
        <w:rPr>
          <w:spacing w:val="-4"/>
          <w:sz w:val="16"/>
        </w:rPr>
        <w:t> </w:t>
      </w:r>
      <w:r>
        <w:rPr>
          <w:sz w:val="16"/>
        </w:rPr>
        <w:t>ridges</w:t>
      </w:r>
      <w:r>
        <w:rPr>
          <w:spacing w:val="-3"/>
          <w:sz w:val="16"/>
        </w:rPr>
        <w:t> </w:t>
      </w:r>
      <w:r>
        <w:rPr>
          <w:sz w:val="16"/>
        </w:rPr>
        <w:t>of</w:t>
      </w:r>
      <w:r>
        <w:rPr>
          <w:spacing w:val="-3"/>
          <w:sz w:val="16"/>
        </w:rPr>
        <w:t> </w:t>
      </w:r>
      <w:r>
        <w:rPr>
          <w:sz w:val="16"/>
        </w:rPr>
        <w:t>the</w:t>
      </w:r>
      <w:r>
        <w:rPr>
          <w:spacing w:val="-2"/>
          <w:sz w:val="16"/>
        </w:rPr>
        <w:t> </w:t>
      </w:r>
      <w:r>
        <w:rPr>
          <w:sz w:val="16"/>
        </w:rPr>
        <w:t>patient</w:t>
      </w:r>
      <w:r>
        <w:rPr>
          <w:spacing w:val="-3"/>
          <w:sz w:val="16"/>
        </w:rPr>
        <w:t> </w:t>
      </w:r>
      <w:r>
        <w:rPr>
          <w:sz w:val="16"/>
        </w:rPr>
        <w:t>that</w:t>
      </w:r>
      <w:r>
        <w:rPr>
          <w:spacing w:val="-1"/>
          <w:sz w:val="16"/>
        </w:rPr>
        <w:t> </w:t>
      </w:r>
      <w:r>
        <w:rPr>
          <w:sz w:val="16"/>
        </w:rPr>
        <w:t>uses a</w:t>
      </w:r>
      <w:r>
        <w:rPr>
          <w:spacing w:val="-3"/>
          <w:sz w:val="16"/>
        </w:rPr>
        <w:t> </w:t>
      </w:r>
      <w:r>
        <w:rPr>
          <w:sz w:val="16"/>
        </w:rPr>
        <w:t>denture.</w:t>
      </w:r>
    </w:p>
    <w:p>
      <w:pPr>
        <w:pStyle w:val="ListParagraph"/>
        <w:numPr>
          <w:ilvl w:val="0"/>
          <w:numId w:val="4"/>
        </w:numPr>
        <w:tabs>
          <w:tab w:pos="967" w:val="left" w:leader="none"/>
          <w:tab w:pos="968" w:val="left" w:leader="none"/>
        </w:tabs>
        <w:spacing w:line="240" w:lineRule="auto" w:before="0" w:after="0"/>
        <w:ind w:left="967" w:right="492" w:hanging="360"/>
        <w:jc w:val="left"/>
        <w:rPr>
          <w:sz w:val="16"/>
        </w:rPr>
      </w:pPr>
      <w:r>
        <w:rPr>
          <w:sz w:val="16"/>
        </w:rPr>
        <w:t>In case of breakage of a denture base, potential damage to the mucosa, the palate, or other parts of the patient’s mouth or esophagus can occur. Contact a</w:t>
      </w:r>
      <w:r>
        <w:rPr>
          <w:spacing w:val="-5"/>
          <w:sz w:val="16"/>
        </w:rPr>
        <w:t> </w:t>
      </w:r>
      <w:r>
        <w:rPr>
          <w:sz w:val="16"/>
        </w:rPr>
        <w:t>dentist.</w:t>
      </w:r>
    </w:p>
    <w:p>
      <w:pPr>
        <w:pStyle w:val="ListParagraph"/>
        <w:numPr>
          <w:ilvl w:val="0"/>
          <w:numId w:val="4"/>
        </w:numPr>
        <w:tabs>
          <w:tab w:pos="967" w:val="left" w:leader="none"/>
          <w:tab w:pos="968" w:val="left" w:leader="none"/>
        </w:tabs>
        <w:spacing w:line="182" w:lineRule="exact" w:before="0" w:after="0"/>
        <w:ind w:left="967" w:right="0" w:hanging="360"/>
        <w:jc w:val="left"/>
        <w:rPr>
          <w:sz w:val="16"/>
        </w:rPr>
      </w:pPr>
      <w:r>
        <w:rPr>
          <w:sz w:val="16"/>
        </w:rPr>
        <w:t>In case of an allergic reaction, contact a medical</w:t>
      </w:r>
      <w:r>
        <w:rPr>
          <w:spacing w:val="-23"/>
          <w:sz w:val="16"/>
        </w:rPr>
        <w:t> </w:t>
      </w:r>
      <w:r>
        <w:rPr>
          <w:sz w:val="16"/>
        </w:rPr>
        <w:t>physician.</w:t>
      </w:r>
    </w:p>
    <w:p>
      <w:pPr>
        <w:pStyle w:val="ListParagraph"/>
        <w:numPr>
          <w:ilvl w:val="0"/>
          <w:numId w:val="4"/>
        </w:numPr>
        <w:tabs>
          <w:tab w:pos="967" w:val="left" w:leader="none"/>
          <w:tab w:pos="968" w:val="left" w:leader="none"/>
        </w:tabs>
        <w:spacing w:line="240" w:lineRule="auto" w:before="1" w:after="0"/>
        <w:ind w:left="967" w:right="0" w:hanging="360"/>
        <w:jc w:val="left"/>
        <w:rPr>
          <w:sz w:val="16"/>
        </w:rPr>
      </w:pPr>
      <w:r>
        <w:rPr>
          <w:sz w:val="16"/>
        </w:rPr>
        <w:t>Asiga</w:t>
      </w:r>
      <w:r>
        <w:rPr>
          <w:spacing w:val="-6"/>
          <w:sz w:val="16"/>
        </w:rPr>
        <w:t> </w:t>
      </w:r>
      <w:r>
        <w:rPr>
          <w:sz w:val="16"/>
        </w:rPr>
        <w:t>DentaGUIDE</w:t>
      </w:r>
      <w:r>
        <w:rPr>
          <w:spacing w:val="-2"/>
          <w:sz w:val="16"/>
        </w:rPr>
        <w:t> </w:t>
      </w:r>
      <w:r>
        <w:rPr>
          <w:sz w:val="16"/>
        </w:rPr>
        <w:t>devices</w:t>
      </w:r>
      <w:r>
        <w:rPr>
          <w:spacing w:val="-2"/>
          <w:sz w:val="16"/>
        </w:rPr>
        <w:t> </w:t>
      </w:r>
      <w:r>
        <w:rPr>
          <w:sz w:val="16"/>
        </w:rPr>
        <w:t>can</w:t>
      </w:r>
      <w:r>
        <w:rPr>
          <w:spacing w:val="-5"/>
          <w:sz w:val="16"/>
        </w:rPr>
        <w:t> </w:t>
      </w:r>
      <w:r>
        <w:rPr>
          <w:sz w:val="16"/>
        </w:rPr>
        <w:t>be</w:t>
      </w:r>
      <w:r>
        <w:rPr>
          <w:spacing w:val="-3"/>
          <w:sz w:val="16"/>
        </w:rPr>
        <w:t> </w:t>
      </w:r>
      <w:r>
        <w:rPr>
          <w:sz w:val="16"/>
        </w:rPr>
        <w:t>cleaned</w:t>
      </w:r>
      <w:r>
        <w:rPr>
          <w:spacing w:val="-3"/>
          <w:sz w:val="16"/>
        </w:rPr>
        <w:t> </w:t>
      </w:r>
      <w:r>
        <w:rPr>
          <w:sz w:val="16"/>
        </w:rPr>
        <w:t>with</w:t>
      </w:r>
      <w:r>
        <w:rPr>
          <w:spacing w:val="-3"/>
          <w:sz w:val="16"/>
        </w:rPr>
        <w:t> </w:t>
      </w:r>
      <w:r>
        <w:rPr>
          <w:sz w:val="16"/>
        </w:rPr>
        <w:t>non-aggressive</w:t>
      </w:r>
      <w:r>
        <w:rPr>
          <w:spacing w:val="-3"/>
          <w:sz w:val="16"/>
        </w:rPr>
        <w:t> </w:t>
      </w:r>
      <w:r>
        <w:rPr>
          <w:sz w:val="16"/>
        </w:rPr>
        <w:t>&amp;</w:t>
      </w:r>
      <w:r>
        <w:rPr>
          <w:spacing w:val="-4"/>
          <w:sz w:val="16"/>
        </w:rPr>
        <w:t> </w:t>
      </w:r>
      <w:r>
        <w:rPr>
          <w:sz w:val="16"/>
        </w:rPr>
        <w:t>non-abrasive</w:t>
      </w:r>
      <w:r>
        <w:rPr>
          <w:spacing w:val="-3"/>
          <w:sz w:val="16"/>
        </w:rPr>
        <w:t> </w:t>
      </w:r>
      <w:r>
        <w:rPr>
          <w:sz w:val="16"/>
        </w:rPr>
        <w:t>dental</w:t>
      </w:r>
      <w:r>
        <w:rPr>
          <w:spacing w:val="-4"/>
          <w:sz w:val="16"/>
        </w:rPr>
        <w:t> </w:t>
      </w:r>
      <w:r>
        <w:rPr>
          <w:sz w:val="16"/>
        </w:rPr>
        <w:t>cleaning</w:t>
      </w:r>
      <w:r>
        <w:rPr>
          <w:spacing w:val="-3"/>
          <w:sz w:val="16"/>
        </w:rPr>
        <w:t> </w:t>
      </w:r>
      <w:r>
        <w:rPr>
          <w:sz w:val="16"/>
        </w:rPr>
        <w:t>products.</w:t>
      </w:r>
    </w:p>
    <w:p>
      <w:pPr>
        <w:pStyle w:val="BodyText"/>
        <w:spacing w:before="8"/>
        <w:rPr>
          <w:sz w:val="15"/>
        </w:rPr>
      </w:pPr>
    </w:p>
    <w:p>
      <w:pPr>
        <w:pStyle w:val="Heading1"/>
        <w:rPr>
          <w:b w:val="0"/>
        </w:rPr>
      </w:pPr>
      <w:r>
        <w:rPr>
          <w:u w:val="single"/>
        </w:rPr>
        <w:t>Delivery Units</w:t>
      </w:r>
      <w:r>
        <w:rPr>
          <w:b w:val="0"/>
        </w:rPr>
        <w:t>:</w:t>
      </w:r>
    </w:p>
    <w:p>
      <w:pPr>
        <w:pStyle w:val="BodyText"/>
        <w:spacing w:before="2"/>
        <w:ind w:left="247"/>
      </w:pPr>
      <w:r>
        <w:rPr/>
        <w:t>Asiga DentaGUIDE is available in 1 colour only: Clear, 1kg.</w:t>
      </w:r>
    </w:p>
    <w:sectPr>
      <w:pgSz w:w="11910" w:h="16840"/>
      <w:pgMar w:header="600" w:footer="861" w:top="2780" w:bottom="1060" w:left="1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0519">
          <wp:simplePos x="0" y="0"/>
          <wp:positionH relativeFrom="page">
            <wp:posOffset>271145</wp:posOffset>
          </wp:positionH>
          <wp:positionV relativeFrom="page">
            <wp:posOffset>9977754</wp:posOffset>
          </wp:positionV>
          <wp:extent cx="5422392" cy="233172"/>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 cstate="print"/>
                  <a:stretch>
                    <a:fillRect/>
                  </a:stretch>
                </pic:blipFill>
                <pic:spPr>
                  <a:xfrm>
                    <a:off x="0" y="0"/>
                    <a:ext cx="5422392" cy="233172"/>
                  </a:xfrm>
                  <a:prstGeom prst="rect">
                    <a:avLst/>
                  </a:prstGeom>
                </pic:spPr>
              </pic:pic>
            </a:graphicData>
          </a:graphic>
        </wp:anchor>
      </w:drawing>
    </w:r>
    <w:r>
      <w:rPr/>
      <w:pict>
        <v:shape style="position:absolute;margin-left:20.360001pt;margin-top:802.976013pt;width:83.4pt;height:17.150pt;mso-position-horizontal-relative:page;mso-position-vertical-relative:page;z-index:-4912" type="#_x0000_t202" filled="false" stroked="false">
          <v:textbox inset="0,0,0,0">
            <w:txbxContent>
              <w:p>
                <w:pPr>
                  <w:spacing w:before="18"/>
                  <w:ind w:left="521" w:right="0" w:firstLine="0"/>
                  <w:jc w:val="left"/>
                  <w:rPr>
                    <w:rFonts w:ascii="Tahoma"/>
                    <w:sz w:val="12"/>
                  </w:rPr>
                </w:pPr>
                <w:r>
                  <w:rPr>
                    <w:rFonts w:ascii="Tahoma"/>
                    <w:color w:val="333333"/>
                    <w:w w:val="85"/>
                    <w:sz w:val="12"/>
                  </w:rPr>
                  <w:t>SRN: AU-MF-000012099</w:t>
                </w:r>
              </w:p>
              <w:p>
                <w:pPr>
                  <w:spacing w:before="6"/>
                  <w:ind w:left="20" w:right="0" w:firstLine="0"/>
                  <w:jc w:val="left"/>
                  <w:rPr>
                    <w:rFonts w:ascii="Tahoma"/>
                    <w:sz w:val="12"/>
                  </w:rPr>
                </w:pPr>
                <w:r>
                  <w:rPr>
                    <w:rFonts w:ascii="Tahoma"/>
                    <w:color w:val="333333"/>
                    <w:w w:val="90"/>
                    <w:sz w:val="12"/>
                  </w:rPr>
                  <w:t>Instructions For Use: DentaGUIDE</w:t>
                </w:r>
              </w:p>
            </w:txbxContent>
          </v:textbox>
          <w10:wrap type="none"/>
        </v:shape>
      </w:pict>
    </w:r>
    <w:r>
      <w:rPr/>
      <w:pict>
        <v:shape style="position:absolute;margin-left:117.339996pt;margin-top:802.976013pt;width:3.8pt;height:9.550pt;mso-position-horizontal-relative:page;mso-position-vertical-relative:page;z-index:-4888" type="#_x0000_t202" filled="false" stroked="false">
          <v:textbox inset="0,0,0,0">
            <w:txbxContent>
              <w:p>
                <w:pPr>
                  <w:spacing w:before="18"/>
                  <w:ind w:left="20" w:right="0" w:firstLine="0"/>
                  <w:jc w:val="left"/>
                  <w:rPr>
                    <w:rFonts w:ascii="Tahoma"/>
                    <w:sz w:val="12"/>
                  </w:rPr>
                </w:pPr>
                <w:r>
                  <w:rPr>
                    <w:rFonts w:ascii="Tahoma"/>
                    <w:color w:val="333333"/>
                    <w:w w:val="82"/>
                    <w:sz w:val="12"/>
                  </w:rPr>
                  <w:t>-</w:t>
                </w:r>
              </w:p>
            </w:txbxContent>
          </v:textbox>
          <w10:wrap type="none"/>
        </v:shape>
      </w:pict>
    </w:r>
    <w:r>
      <w:rPr/>
      <w:pict>
        <v:shape style="position:absolute;margin-left:141.940002pt;margin-top:802.976013pt;width:31.3pt;height:9.550pt;mso-position-horizontal-relative:page;mso-position-vertical-relative:page;z-index:-4864" type="#_x0000_t202" filled="false" stroked="false">
          <v:textbox inset="0,0,0,0">
            <w:txbxContent>
              <w:p>
                <w:pPr>
                  <w:spacing w:before="18"/>
                  <w:ind w:left="20" w:right="0" w:firstLine="0"/>
                  <w:jc w:val="left"/>
                  <w:rPr>
                    <w:rFonts w:ascii="Tahoma"/>
                    <w:sz w:val="12"/>
                  </w:rPr>
                </w:pPr>
                <w:r>
                  <w:rPr>
                    <w:rFonts w:ascii="Tahoma"/>
                    <w:color w:val="333333"/>
                    <w:w w:val="90"/>
                    <w:sz w:val="12"/>
                  </w:rPr>
                  <w:t>MDEL 17877</w:t>
                </w:r>
              </w:p>
            </w:txbxContent>
          </v:textbox>
          <w10:wrap type="none"/>
        </v:shape>
      </w:pict>
    </w:r>
    <w:r>
      <w:rPr/>
      <w:pict>
        <v:shape style="position:absolute;margin-left:274.089996pt;margin-top:810.536011pt;width:30.6pt;height:9.550pt;mso-position-horizontal-relative:page;mso-position-vertical-relative:page;z-index:-4840" type="#_x0000_t202" filled="false" stroked="false">
          <v:textbox inset="0,0,0,0">
            <w:txbxContent>
              <w:p>
                <w:pPr>
                  <w:spacing w:before="18"/>
                  <w:ind w:left="20" w:right="0" w:firstLine="0"/>
                  <w:jc w:val="left"/>
                  <w:rPr>
                    <w:rFonts w:ascii="Tahoma"/>
                    <w:sz w:val="12"/>
                  </w:rPr>
                </w:pPr>
                <w:r>
                  <w:rPr>
                    <w:rFonts w:ascii="Tahoma"/>
                    <w:color w:val="333333"/>
                    <w:w w:val="90"/>
                    <w:sz w:val="12"/>
                  </w:rPr>
                  <w:t>Revision 09,</w:t>
                </w:r>
              </w:p>
            </w:txbxContent>
          </v:textbox>
          <w10:wrap type="none"/>
        </v:shape>
      </w:pict>
    </w:r>
    <w:r>
      <w:rPr/>
      <w:pict>
        <v:shape style="position:absolute;margin-left:468.299988pt;margin-top:810.536011pt;width:70.05pt;height:9.550pt;mso-position-horizontal-relative:page;mso-position-vertical-relative:page;z-index:-4816" type="#_x0000_t202" filled="false" stroked="false">
          <v:textbox inset="0,0,0,0">
            <w:txbxContent>
              <w:p>
                <w:pPr>
                  <w:spacing w:before="18"/>
                  <w:ind w:left="20" w:right="0" w:firstLine="0"/>
                  <w:jc w:val="left"/>
                  <w:rPr>
                    <w:rFonts w:ascii="Tahoma"/>
                    <w:sz w:val="12"/>
                  </w:rPr>
                </w:pPr>
                <w:r>
                  <w:rPr>
                    <w:rFonts w:ascii="Tahoma"/>
                    <w:color w:val="333333"/>
                    <w:w w:val="90"/>
                    <w:sz w:val="12"/>
                  </w:rPr>
                  <w:t>Effective</w:t>
                </w:r>
                <w:r>
                  <w:rPr>
                    <w:rFonts w:ascii="Tahoma"/>
                    <w:color w:val="333333"/>
                    <w:spacing w:val="-16"/>
                    <w:w w:val="90"/>
                    <w:sz w:val="12"/>
                  </w:rPr>
                  <w:t> </w:t>
                </w:r>
                <w:r>
                  <w:rPr>
                    <w:rFonts w:ascii="Tahoma"/>
                    <w:color w:val="333333"/>
                    <w:w w:val="90"/>
                    <w:sz w:val="12"/>
                  </w:rPr>
                  <w:t>Date:</w:t>
                </w:r>
                <w:r>
                  <w:rPr>
                    <w:rFonts w:ascii="Tahoma"/>
                    <w:color w:val="333333"/>
                    <w:spacing w:val="-16"/>
                    <w:w w:val="90"/>
                    <w:sz w:val="12"/>
                  </w:rPr>
                  <w:t> </w:t>
                </w:r>
                <w:r>
                  <w:rPr>
                    <w:rFonts w:ascii="Tahoma"/>
                    <w:color w:val="333333"/>
                    <w:w w:val="90"/>
                    <w:sz w:val="12"/>
                  </w:rPr>
                  <w:t>29</w:t>
                </w:r>
                <w:r>
                  <w:rPr>
                    <w:rFonts w:ascii="Tahoma"/>
                    <w:color w:val="333333"/>
                    <w:w w:val="90"/>
                    <w:position w:val="4"/>
                    <w:sz w:val="7"/>
                  </w:rPr>
                  <w:t>th</w:t>
                </w:r>
                <w:r>
                  <w:rPr>
                    <w:rFonts w:ascii="Tahoma"/>
                    <w:color w:val="333333"/>
                    <w:spacing w:val="-2"/>
                    <w:w w:val="90"/>
                    <w:position w:val="4"/>
                    <w:sz w:val="7"/>
                  </w:rPr>
                  <w:t> </w:t>
                </w:r>
                <w:r>
                  <w:rPr>
                    <w:rFonts w:ascii="Tahoma"/>
                    <w:color w:val="333333"/>
                    <w:w w:val="90"/>
                    <w:sz w:val="12"/>
                  </w:rPr>
                  <w:t>May</w:t>
                </w:r>
                <w:r>
                  <w:rPr>
                    <w:rFonts w:ascii="Tahoma"/>
                    <w:color w:val="333333"/>
                    <w:spacing w:val="-16"/>
                    <w:w w:val="90"/>
                    <w:sz w:val="12"/>
                  </w:rPr>
                  <w:t> </w:t>
                </w:r>
                <w:r>
                  <w:rPr>
                    <w:rFonts w:ascii="Tahoma"/>
                    <w:color w:val="333333"/>
                    <w:w w:val="90"/>
                    <w:sz w:val="12"/>
                  </w:rPr>
                  <w:t>2023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0399">
          <wp:simplePos x="0" y="0"/>
          <wp:positionH relativeFrom="page">
            <wp:posOffset>5684520</wp:posOffset>
          </wp:positionH>
          <wp:positionV relativeFrom="page">
            <wp:posOffset>380999</wp:posOffset>
          </wp:positionV>
          <wp:extent cx="1607820" cy="1371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07820" cy="137159"/>
                  </a:xfrm>
                  <a:prstGeom prst="rect">
                    <a:avLst/>
                  </a:prstGeom>
                </pic:spPr>
              </pic:pic>
            </a:graphicData>
          </a:graphic>
        </wp:anchor>
      </w:drawing>
    </w:r>
    <w:r>
      <w:rPr/>
      <w:drawing>
        <wp:anchor distT="0" distB="0" distL="0" distR="0" allowOverlap="1" layoutInCell="1" locked="0" behindDoc="1" simplePos="0" relativeHeight="268430423">
          <wp:simplePos x="0" y="0"/>
          <wp:positionH relativeFrom="page">
            <wp:posOffset>271145</wp:posOffset>
          </wp:positionH>
          <wp:positionV relativeFrom="page">
            <wp:posOffset>678179</wp:posOffset>
          </wp:positionV>
          <wp:extent cx="937260" cy="937259"/>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937260" cy="937259"/>
                  </a:xfrm>
                  <a:prstGeom prst="rect">
                    <a:avLst/>
                  </a:prstGeom>
                </pic:spPr>
              </pic:pic>
            </a:graphicData>
          </a:graphic>
        </wp:anchor>
      </w:drawing>
    </w:r>
    <w:r>
      <w:rPr/>
      <w:drawing>
        <wp:anchor distT="0" distB="0" distL="0" distR="0" allowOverlap="1" layoutInCell="1" locked="0" behindDoc="1" simplePos="0" relativeHeight="268430447">
          <wp:simplePos x="0" y="0"/>
          <wp:positionH relativeFrom="page">
            <wp:posOffset>5375275</wp:posOffset>
          </wp:positionH>
          <wp:positionV relativeFrom="page">
            <wp:posOffset>1223644</wp:posOffset>
          </wp:positionV>
          <wp:extent cx="1927859" cy="36258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927859" cy="362584"/>
                  </a:xfrm>
                  <a:prstGeom prst="rect">
                    <a:avLst/>
                  </a:prstGeom>
                </pic:spPr>
              </pic:pic>
            </a:graphicData>
          </a:graphic>
        </wp:anchor>
      </w:drawing>
    </w:r>
    <w:r>
      <w:rPr/>
      <w:drawing>
        <wp:anchor distT="0" distB="0" distL="0" distR="0" allowOverlap="1" layoutInCell="1" locked="0" behindDoc="1" simplePos="0" relativeHeight="268430471">
          <wp:simplePos x="0" y="0"/>
          <wp:positionH relativeFrom="page">
            <wp:posOffset>181610</wp:posOffset>
          </wp:positionH>
          <wp:positionV relativeFrom="page">
            <wp:posOffset>1728471</wp:posOffset>
          </wp:positionV>
          <wp:extent cx="7380478" cy="38098"/>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4" cstate="print"/>
                  <a:stretch>
                    <a:fillRect/>
                  </a:stretch>
                </pic:blipFill>
                <pic:spPr>
                  <a:xfrm>
                    <a:off x="0" y="0"/>
                    <a:ext cx="7380478" cy="3809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98.264pt;margin-top:116.41935pt;width:133.450pt;height:14.55pt;mso-position-horizontal-relative:page;mso-position-vertical-relative:page;z-index:-4960" type="#_x0000_t202" filled="false" stroked="false">
          <v:textbox inset="0,0,0,0">
            <w:txbxContent>
              <w:p>
                <w:pPr>
                  <w:spacing w:before="16"/>
                  <w:ind w:left="20" w:right="0" w:firstLine="0"/>
                  <w:jc w:val="left"/>
                  <w:rPr>
                    <w:rFonts w:ascii="Tahoma"/>
                    <w:sz w:val="20"/>
                  </w:rPr>
                </w:pPr>
                <w:r>
                  <w:rPr>
                    <w:rFonts w:ascii="Tahoma"/>
                    <w:color w:val="1B1817"/>
                    <w:w w:val="95"/>
                    <w:sz w:val="20"/>
                  </w:rPr>
                  <w:t>Printer</w:t>
                </w:r>
                <w:r>
                  <w:rPr>
                    <w:rFonts w:ascii="Tahoma"/>
                    <w:color w:val="1B1817"/>
                    <w:spacing w:val="-43"/>
                    <w:w w:val="95"/>
                    <w:sz w:val="20"/>
                  </w:rPr>
                  <w:t> </w:t>
                </w:r>
                <w:r>
                  <w:rPr>
                    <w:rFonts w:ascii="Tahoma"/>
                    <w:color w:val="1B1817"/>
                    <w:w w:val="95"/>
                    <w:sz w:val="20"/>
                  </w:rPr>
                  <w:t>compatibility</w:t>
                </w:r>
                <w:r>
                  <w:rPr>
                    <w:rFonts w:ascii="Tahoma"/>
                    <w:color w:val="1B1817"/>
                    <w:spacing w:val="-43"/>
                    <w:w w:val="95"/>
                    <w:sz w:val="20"/>
                  </w:rPr>
                  <w:t> </w:t>
                </w:r>
                <w:r>
                  <w:rPr>
                    <w:rFonts w:ascii="Tahoma"/>
                    <w:color w:val="1B1817"/>
                    <w:w w:val="95"/>
                    <w:sz w:val="20"/>
                  </w:rPr>
                  <w:t>385nm</w:t>
                </w:r>
                <w:r>
                  <w:rPr>
                    <w:rFonts w:ascii="Tahoma"/>
                    <w:color w:val="1B1817"/>
                    <w:spacing w:val="-43"/>
                    <w:w w:val="95"/>
                    <w:sz w:val="20"/>
                  </w:rPr>
                  <w:t> </w:t>
                </w:r>
                <w:r>
                  <w:rPr>
                    <w:rFonts w:ascii="Tahoma"/>
                    <w:color w:val="1B1817"/>
                    <w:w w:val="95"/>
                    <w:sz w:val="20"/>
                  </w:rPr>
                  <w:t>(UV)</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67" w:hanging="360"/>
        <w:jc w:val="left"/>
      </w:pPr>
      <w:rPr>
        <w:rFonts w:hint="default" w:ascii="Arial" w:hAnsi="Arial" w:eastAsia="Arial" w:cs="Arial"/>
        <w:spacing w:val="-1"/>
        <w:w w:val="100"/>
        <w:sz w:val="16"/>
        <w:szCs w:val="16"/>
      </w:rPr>
    </w:lvl>
    <w:lvl w:ilvl="1">
      <w:start w:val="0"/>
      <w:numFmt w:val="bullet"/>
      <w:lvlText w:val="•"/>
      <w:lvlJc w:val="left"/>
      <w:pPr>
        <w:ind w:left="2036" w:hanging="360"/>
      </w:pPr>
      <w:rPr>
        <w:rFonts w:hint="default"/>
      </w:rPr>
    </w:lvl>
    <w:lvl w:ilvl="2">
      <w:start w:val="0"/>
      <w:numFmt w:val="bullet"/>
      <w:lvlText w:val="•"/>
      <w:lvlJc w:val="left"/>
      <w:pPr>
        <w:ind w:left="3113" w:hanging="360"/>
      </w:pPr>
      <w:rPr>
        <w:rFonts w:hint="default"/>
      </w:rPr>
    </w:lvl>
    <w:lvl w:ilvl="3">
      <w:start w:val="0"/>
      <w:numFmt w:val="bullet"/>
      <w:lvlText w:val="•"/>
      <w:lvlJc w:val="left"/>
      <w:pPr>
        <w:ind w:left="4190" w:hanging="360"/>
      </w:pPr>
      <w:rPr>
        <w:rFonts w:hint="default"/>
      </w:rPr>
    </w:lvl>
    <w:lvl w:ilvl="4">
      <w:start w:val="0"/>
      <w:numFmt w:val="bullet"/>
      <w:lvlText w:val="•"/>
      <w:lvlJc w:val="left"/>
      <w:pPr>
        <w:ind w:left="5267" w:hanging="360"/>
      </w:pPr>
      <w:rPr>
        <w:rFonts w:hint="default"/>
      </w:rPr>
    </w:lvl>
    <w:lvl w:ilvl="5">
      <w:start w:val="0"/>
      <w:numFmt w:val="bullet"/>
      <w:lvlText w:val="•"/>
      <w:lvlJc w:val="left"/>
      <w:pPr>
        <w:ind w:left="6344" w:hanging="360"/>
      </w:pPr>
      <w:rPr>
        <w:rFonts w:hint="default"/>
      </w:rPr>
    </w:lvl>
    <w:lvl w:ilvl="6">
      <w:start w:val="0"/>
      <w:numFmt w:val="bullet"/>
      <w:lvlText w:val="•"/>
      <w:lvlJc w:val="left"/>
      <w:pPr>
        <w:ind w:left="7421" w:hanging="360"/>
      </w:pPr>
      <w:rPr>
        <w:rFonts w:hint="default"/>
      </w:rPr>
    </w:lvl>
    <w:lvl w:ilvl="7">
      <w:start w:val="0"/>
      <w:numFmt w:val="bullet"/>
      <w:lvlText w:val="•"/>
      <w:lvlJc w:val="left"/>
      <w:pPr>
        <w:ind w:left="8498" w:hanging="360"/>
      </w:pPr>
      <w:rPr>
        <w:rFonts w:hint="default"/>
      </w:rPr>
    </w:lvl>
    <w:lvl w:ilvl="8">
      <w:start w:val="0"/>
      <w:numFmt w:val="bullet"/>
      <w:lvlText w:val="•"/>
      <w:lvlJc w:val="left"/>
      <w:pPr>
        <w:ind w:left="9575" w:hanging="360"/>
      </w:pPr>
      <w:rPr>
        <w:rFonts w:hint="default"/>
      </w:rPr>
    </w:lvl>
  </w:abstractNum>
  <w:abstractNum w:abstractNumId="2">
    <w:multiLevelType w:val="hybridMultilevel"/>
    <w:lvl w:ilvl="0">
      <w:start w:val="0"/>
      <w:numFmt w:val="bullet"/>
      <w:lvlText w:val=""/>
      <w:lvlJc w:val="left"/>
      <w:pPr>
        <w:ind w:left="967" w:hanging="360"/>
      </w:pPr>
      <w:rPr>
        <w:rFonts w:hint="default" w:ascii="Symbol" w:hAnsi="Symbol" w:eastAsia="Symbol" w:cs="Symbol"/>
        <w:w w:val="100"/>
        <w:sz w:val="16"/>
        <w:szCs w:val="16"/>
      </w:rPr>
    </w:lvl>
    <w:lvl w:ilvl="1">
      <w:start w:val="0"/>
      <w:numFmt w:val="bullet"/>
      <w:lvlText w:val="•"/>
      <w:lvlJc w:val="left"/>
      <w:pPr>
        <w:ind w:left="2036" w:hanging="360"/>
      </w:pPr>
      <w:rPr>
        <w:rFonts w:hint="default"/>
      </w:rPr>
    </w:lvl>
    <w:lvl w:ilvl="2">
      <w:start w:val="0"/>
      <w:numFmt w:val="bullet"/>
      <w:lvlText w:val="•"/>
      <w:lvlJc w:val="left"/>
      <w:pPr>
        <w:ind w:left="3113" w:hanging="360"/>
      </w:pPr>
      <w:rPr>
        <w:rFonts w:hint="default"/>
      </w:rPr>
    </w:lvl>
    <w:lvl w:ilvl="3">
      <w:start w:val="0"/>
      <w:numFmt w:val="bullet"/>
      <w:lvlText w:val="•"/>
      <w:lvlJc w:val="left"/>
      <w:pPr>
        <w:ind w:left="4190" w:hanging="360"/>
      </w:pPr>
      <w:rPr>
        <w:rFonts w:hint="default"/>
      </w:rPr>
    </w:lvl>
    <w:lvl w:ilvl="4">
      <w:start w:val="0"/>
      <w:numFmt w:val="bullet"/>
      <w:lvlText w:val="•"/>
      <w:lvlJc w:val="left"/>
      <w:pPr>
        <w:ind w:left="5267" w:hanging="360"/>
      </w:pPr>
      <w:rPr>
        <w:rFonts w:hint="default"/>
      </w:rPr>
    </w:lvl>
    <w:lvl w:ilvl="5">
      <w:start w:val="0"/>
      <w:numFmt w:val="bullet"/>
      <w:lvlText w:val="•"/>
      <w:lvlJc w:val="left"/>
      <w:pPr>
        <w:ind w:left="6344" w:hanging="360"/>
      </w:pPr>
      <w:rPr>
        <w:rFonts w:hint="default"/>
      </w:rPr>
    </w:lvl>
    <w:lvl w:ilvl="6">
      <w:start w:val="0"/>
      <w:numFmt w:val="bullet"/>
      <w:lvlText w:val="•"/>
      <w:lvlJc w:val="left"/>
      <w:pPr>
        <w:ind w:left="7421" w:hanging="360"/>
      </w:pPr>
      <w:rPr>
        <w:rFonts w:hint="default"/>
      </w:rPr>
    </w:lvl>
    <w:lvl w:ilvl="7">
      <w:start w:val="0"/>
      <w:numFmt w:val="bullet"/>
      <w:lvlText w:val="•"/>
      <w:lvlJc w:val="left"/>
      <w:pPr>
        <w:ind w:left="8498" w:hanging="360"/>
      </w:pPr>
      <w:rPr>
        <w:rFonts w:hint="default"/>
      </w:rPr>
    </w:lvl>
    <w:lvl w:ilvl="8">
      <w:start w:val="0"/>
      <w:numFmt w:val="bullet"/>
      <w:lvlText w:val="•"/>
      <w:lvlJc w:val="left"/>
      <w:pPr>
        <w:ind w:left="9575" w:hanging="360"/>
      </w:pPr>
      <w:rPr>
        <w:rFonts w:hint="default"/>
      </w:rPr>
    </w:lvl>
  </w:abstractNum>
  <w:abstractNum w:abstractNumId="1">
    <w:multiLevelType w:val="hybridMultilevel"/>
    <w:lvl w:ilvl="0">
      <w:start w:val="1"/>
      <w:numFmt w:val="decimal"/>
      <w:lvlText w:val="%1."/>
      <w:lvlJc w:val="left"/>
      <w:pPr>
        <w:ind w:left="967" w:hanging="360"/>
        <w:jc w:val="left"/>
      </w:pPr>
      <w:rPr>
        <w:rFonts w:hint="default" w:ascii="Arial" w:hAnsi="Arial" w:eastAsia="Arial" w:cs="Arial"/>
        <w:spacing w:val="-1"/>
        <w:w w:val="100"/>
        <w:sz w:val="16"/>
        <w:szCs w:val="16"/>
      </w:rPr>
    </w:lvl>
    <w:lvl w:ilvl="1">
      <w:start w:val="0"/>
      <w:numFmt w:val="bullet"/>
      <w:lvlText w:val="•"/>
      <w:lvlJc w:val="left"/>
      <w:pPr>
        <w:ind w:left="2036" w:hanging="360"/>
      </w:pPr>
      <w:rPr>
        <w:rFonts w:hint="default"/>
      </w:rPr>
    </w:lvl>
    <w:lvl w:ilvl="2">
      <w:start w:val="0"/>
      <w:numFmt w:val="bullet"/>
      <w:lvlText w:val="•"/>
      <w:lvlJc w:val="left"/>
      <w:pPr>
        <w:ind w:left="3113" w:hanging="360"/>
      </w:pPr>
      <w:rPr>
        <w:rFonts w:hint="default"/>
      </w:rPr>
    </w:lvl>
    <w:lvl w:ilvl="3">
      <w:start w:val="0"/>
      <w:numFmt w:val="bullet"/>
      <w:lvlText w:val="•"/>
      <w:lvlJc w:val="left"/>
      <w:pPr>
        <w:ind w:left="4190" w:hanging="360"/>
      </w:pPr>
      <w:rPr>
        <w:rFonts w:hint="default"/>
      </w:rPr>
    </w:lvl>
    <w:lvl w:ilvl="4">
      <w:start w:val="0"/>
      <w:numFmt w:val="bullet"/>
      <w:lvlText w:val="•"/>
      <w:lvlJc w:val="left"/>
      <w:pPr>
        <w:ind w:left="5267" w:hanging="360"/>
      </w:pPr>
      <w:rPr>
        <w:rFonts w:hint="default"/>
      </w:rPr>
    </w:lvl>
    <w:lvl w:ilvl="5">
      <w:start w:val="0"/>
      <w:numFmt w:val="bullet"/>
      <w:lvlText w:val="•"/>
      <w:lvlJc w:val="left"/>
      <w:pPr>
        <w:ind w:left="6344" w:hanging="360"/>
      </w:pPr>
      <w:rPr>
        <w:rFonts w:hint="default"/>
      </w:rPr>
    </w:lvl>
    <w:lvl w:ilvl="6">
      <w:start w:val="0"/>
      <w:numFmt w:val="bullet"/>
      <w:lvlText w:val="•"/>
      <w:lvlJc w:val="left"/>
      <w:pPr>
        <w:ind w:left="7421" w:hanging="360"/>
      </w:pPr>
      <w:rPr>
        <w:rFonts w:hint="default"/>
      </w:rPr>
    </w:lvl>
    <w:lvl w:ilvl="7">
      <w:start w:val="0"/>
      <w:numFmt w:val="bullet"/>
      <w:lvlText w:val="•"/>
      <w:lvlJc w:val="left"/>
      <w:pPr>
        <w:ind w:left="8498" w:hanging="360"/>
      </w:pPr>
      <w:rPr>
        <w:rFonts w:hint="default"/>
      </w:rPr>
    </w:lvl>
    <w:lvl w:ilvl="8">
      <w:start w:val="0"/>
      <w:numFmt w:val="bullet"/>
      <w:lvlText w:val="•"/>
      <w:lvlJc w:val="left"/>
      <w:pPr>
        <w:ind w:left="9575" w:hanging="360"/>
      </w:pPr>
      <w:rPr>
        <w:rFonts w:hint="default"/>
      </w:rPr>
    </w:lvl>
  </w:abstractNum>
  <w:abstractNum w:abstractNumId="0">
    <w:multiLevelType w:val="hybridMultilevel"/>
    <w:lvl w:ilvl="0">
      <w:start w:val="0"/>
      <w:numFmt w:val="bullet"/>
      <w:lvlText w:val="-"/>
      <w:lvlJc w:val="left"/>
      <w:pPr>
        <w:ind w:left="967" w:hanging="360"/>
      </w:pPr>
      <w:rPr>
        <w:rFonts w:hint="default" w:ascii="Arial" w:hAnsi="Arial" w:eastAsia="Arial" w:cs="Arial"/>
        <w:w w:val="100"/>
        <w:sz w:val="16"/>
        <w:szCs w:val="16"/>
      </w:rPr>
    </w:lvl>
    <w:lvl w:ilvl="1">
      <w:start w:val="0"/>
      <w:numFmt w:val="bullet"/>
      <w:lvlText w:val="•"/>
      <w:lvlJc w:val="left"/>
      <w:pPr>
        <w:ind w:left="2036" w:hanging="360"/>
      </w:pPr>
      <w:rPr>
        <w:rFonts w:hint="default"/>
      </w:rPr>
    </w:lvl>
    <w:lvl w:ilvl="2">
      <w:start w:val="0"/>
      <w:numFmt w:val="bullet"/>
      <w:lvlText w:val="•"/>
      <w:lvlJc w:val="left"/>
      <w:pPr>
        <w:ind w:left="3113" w:hanging="360"/>
      </w:pPr>
      <w:rPr>
        <w:rFonts w:hint="default"/>
      </w:rPr>
    </w:lvl>
    <w:lvl w:ilvl="3">
      <w:start w:val="0"/>
      <w:numFmt w:val="bullet"/>
      <w:lvlText w:val="•"/>
      <w:lvlJc w:val="left"/>
      <w:pPr>
        <w:ind w:left="4190" w:hanging="360"/>
      </w:pPr>
      <w:rPr>
        <w:rFonts w:hint="default"/>
      </w:rPr>
    </w:lvl>
    <w:lvl w:ilvl="4">
      <w:start w:val="0"/>
      <w:numFmt w:val="bullet"/>
      <w:lvlText w:val="•"/>
      <w:lvlJc w:val="left"/>
      <w:pPr>
        <w:ind w:left="5267" w:hanging="360"/>
      </w:pPr>
      <w:rPr>
        <w:rFonts w:hint="default"/>
      </w:rPr>
    </w:lvl>
    <w:lvl w:ilvl="5">
      <w:start w:val="0"/>
      <w:numFmt w:val="bullet"/>
      <w:lvlText w:val="•"/>
      <w:lvlJc w:val="left"/>
      <w:pPr>
        <w:ind w:left="6344" w:hanging="360"/>
      </w:pPr>
      <w:rPr>
        <w:rFonts w:hint="default"/>
      </w:rPr>
    </w:lvl>
    <w:lvl w:ilvl="6">
      <w:start w:val="0"/>
      <w:numFmt w:val="bullet"/>
      <w:lvlText w:val="•"/>
      <w:lvlJc w:val="left"/>
      <w:pPr>
        <w:ind w:left="7421" w:hanging="360"/>
      </w:pPr>
      <w:rPr>
        <w:rFonts w:hint="default"/>
      </w:rPr>
    </w:lvl>
    <w:lvl w:ilvl="7">
      <w:start w:val="0"/>
      <w:numFmt w:val="bullet"/>
      <w:lvlText w:val="•"/>
      <w:lvlJc w:val="left"/>
      <w:pPr>
        <w:ind w:left="8498" w:hanging="360"/>
      </w:pPr>
      <w:rPr>
        <w:rFonts w:hint="default"/>
      </w:rPr>
    </w:lvl>
    <w:lvl w:ilvl="8">
      <w:start w:val="0"/>
      <w:numFmt w:val="bullet"/>
      <w:lvlText w:val="•"/>
      <w:lvlJc w:val="left"/>
      <w:pPr>
        <w:ind w:left="9575"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left="247"/>
      <w:outlineLvl w:val="1"/>
    </w:pPr>
    <w:rPr>
      <w:rFonts w:ascii="Arial" w:hAnsi="Arial" w:eastAsia="Arial" w:cs="Arial"/>
      <w:b/>
      <w:bCs/>
      <w:sz w:val="16"/>
      <w:szCs w:val="16"/>
    </w:rPr>
  </w:style>
  <w:style w:styleId="ListParagraph" w:type="paragraph">
    <w:name w:val="List Paragraph"/>
    <w:basedOn w:val="Normal"/>
    <w:uiPriority w:val="1"/>
    <w:qFormat/>
    <w:pPr>
      <w:ind w:left="967"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6.png"/><Relationship Id="rId8" Type="http://schemas.openxmlformats.org/officeDocument/2006/relationships/hyperlink" Target="https://www.asiga.com/accounts/support/" TargetMode="External"/><Relationship Id="rId9" Type="http://schemas.openxmlformats.org/officeDocument/2006/relationships/hyperlink" Target="https://www.asiga.com/accounts/#tab_material"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Azar</dc:creator>
  <dc:title>Asiga DentaGUIDE IFU</dc:title>
  <dcterms:created xsi:type="dcterms:W3CDTF">2025-03-31T10:58:37Z</dcterms:created>
  <dcterms:modified xsi:type="dcterms:W3CDTF">2025-03-31T10:58:37Z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2016</vt:lpwstr>
  </property>
  <property fmtid="{D5CDD505-2E9C-101B-9397-08002B2CF9AE}" pid="4" name="LastSaved">
    <vt:filetime>2025-03-31T00:00:00Z</vt:filetime>
  </property>
</Properties>
</file>